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929" w:rsidRPr="00506E3A" w:rsidRDefault="00500929" w:rsidP="00375D42">
      <w:pPr>
        <w:spacing w:after="0"/>
        <w:ind w:firstLine="851"/>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Урок 4</w:t>
      </w:r>
      <w:r w:rsidRPr="00506E3A">
        <w:rPr>
          <w:rFonts w:ascii="Times New Roman" w:hAnsi="Times New Roman" w:cs="Times New Roman"/>
          <w:b/>
          <w:sz w:val="28"/>
          <w:szCs w:val="28"/>
          <w:u w:val="single"/>
          <w:lang w:val="uk-UA"/>
        </w:rPr>
        <w:t xml:space="preserve">. </w:t>
      </w:r>
      <w:r>
        <w:rPr>
          <w:rFonts w:ascii="Times New Roman" w:hAnsi="Times New Roman" w:cs="Times New Roman"/>
          <w:b/>
          <w:sz w:val="28"/>
          <w:szCs w:val="28"/>
          <w:u w:val="single"/>
          <w:lang w:val="uk-UA"/>
        </w:rPr>
        <w:t>Україна та ЄС: Угода про Асоціацію</w:t>
      </w:r>
    </w:p>
    <w:p w:rsidR="00500929" w:rsidRPr="00506E3A" w:rsidRDefault="00500929" w:rsidP="00375D42">
      <w:pPr>
        <w:spacing w:after="0"/>
        <w:ind w:firstLine="851"/>
        <w:jc w:val="center"/>
        <w:rPr>
          <w:rFonts w:ascii="Times New Roman" w:hAnsi="Times New Roman" w:cs="Times New Roman"/>
          <w:b/>
          <w:sz w:val="28"/>
          <w:szCs w:val="28"/>
          <w:u w:val="single"/>
          <w:lang w:val="uk-UA"/>
        </w:rPr>
      </w:pPr>
      <w:r w:rsidRPr="00506E3A">
        <w:rPr>
          <w:rFonts w:ascii="Times New Roman" w:hAnsi="Times New Roman" w:cs="Times New Roman"/>
          <w:b/>
          <w:sz w:val="28"/>
          <w:szCs w:val="28"/>
          <w:u w:val="single"/>
          <w:lang w:val="uk-UA"/>
        </w:rPr>
        <w:t xml:space="preserve"> (2 години)</w:t>
      </w:r>
    </w:p>
    <w:p w:rsidR="00500929" w:rsidRPr="00931D0F" w:rsidRDefault="00500929" w:rsidP="00375D42">
      <w:pPr>
        <w:spacing w:after="0"/>
        <w:ind w:firstLine="851"/>
        <w:jc w:val="both"/>
        <w:rPr>
          <w:rFonts w:ascii="Times New Roman" w:hAnsi="Times New Roman" w:cs="Times New Roman"/>
          <w:i/>
          <w:sz w:val="28"/>
          <w:szCs w:val="28"/>
          <w:lang w:val="uk-UA"/>
        </w:rPr>
      </w:pPr>
      <w:proofErr w:type="spellStart"/>
      <w:r w:rsidRPr="00931D0F">
        <w:rPr>
          <w:rFonts w:ascii="Times New Roman" w:hAnsi="Times New Roman" w:cs="Times New Roman"/>
          <w:i/>
          <w:sz w:val="28"/>
          <w:szCs w:val="28"/>
          <w:lang w:val="uk-UA"/>
        </w:rPr>
        <w:t>Тренерки</w:t>
      </w:r>
      <w:proofErr w:type="spellEnd"/>
      <w:r w:rsidRPr="00931D0F">
        <w:rPr>
          <w:rFonts w:ascii="Times New Roman" w:hAnsi="Times New Roman" w:cs="Times New Roman"/>
          <w:i/>
          <w:sz w:val="28"/>
          <w:szCs w:val="28"/>
          <w:lang w:val="uk-UA"/>
        </w:rPr>
        <w:t xml:space="preserve">: </w:t>
      </w:r>
    </w:p>
    <w:p w:rsidR="00500929" w:rsidRPr="00931D0F" w:rsidRDefault="00500929" w:rsidP="00375D42">
      <w:pPr>
        <w:spacing w:after="0"/>
        <w:ind w:firstLine="851"/>
        <w:jc w:val="both"/>
        <w:rPr>
          <w:rFonts w:ascii="Times New Roman" w:hAnsi="Times New Roman" w:cs="Times New Roman"/>
          <w:i/>
          <w:sz w:val="28"/>
          <w:szCs w:val="28"/>
          <w:lang w:val="uk-UA"/>
        </w:rPr>
      </w:pPr>
      <w:r w:rsidRPr="00931D0F">
        <w:rPr>
          <w:rFonts w:ascii="Times New Roman" w:hAnsi="Times New Roman" w:cs="Times New Roman"/>
          <w:i/>
          <w:sz w:val="28"/>
          <w:szCs w:val="28"/>
          <w:lang w:val="uk-UA"/>
        </w:rPr>
        <w:t xml:space="preserve">кандидат наук з державного управління </w:t>
      </w:r>
      <w:proofErr w:type="spellStart"/>
      <w:r w:rsidRPr="00931D0F">
        <w:rPr>
          <w:rFonts w:ascii="Times New Roman" w:hAnsi="Times New Roman" w:cs="Times New Roman"/>
          <w:i/>
          <w:sz w:val="28"/>
          <w:szCs w:val="28"/>
          <w:lang w:val="uk-UA"/>
        </w:rPr>
        <w:t>Акімова</w:t>
      </w:r>
      <w:proofErr w:type="spellEnd"/>
      <w:r w:rsidRPr="00931D0F">
        <w:rPr>
          <w:rFonts w:ascii="Times New Roman" w:hAnsi="Times New Roman" w:cs="Times New Roman"/>
          <w:i/>
          <w:sz w:val="28"/>
          <w:szCs w:val="28"/>
          <w:lang w:val="uk-UA"/>
        </w:rPr>
        <w:t xml:space="preserve"> Тетяна Юріївна</w:t>
      </w:r>
    </w:p>
    <w:p w:rsidR="00500929" w:rsidRPr="00931D0F" w:rsidRDefault="00500929" w:rsidP="00375D42">
      <w:pPr>
        <w:spacing w:after="0"/>
        <w:ind w:firstLine="851"/>
        <w:jc w:val="both"/>
        <w:rPr>
          <w:rFonts w:ascii="Times New Roman" w:hAnsi="Times New Roman" w:cs="Times New Roman"/>
          <w:i/>
          <w:sz w:val="28"/>
          <w:szCs w:val="28"/>
          <w:lang w:val="uk-UA"/>
        </w:rPr>
      </w:pPr>
      <w:r w:rsidRPr="00931D0F">
        <w:rPr>
          <w:rFonts w:ascii="Times New Roman" w:hAnsi="Times New Roman" w:cs="Times New Roman"/>
          <w:i/>
          <w:sz w:val="28"/>
          <w:szCs w:val="28"/>
          <w:lang w:val="uk-UA"/>
        </w:rPr>
        <w:t>кандидат політичних наук Лушагіна Тетяна Вікторівна</w:t>
      </w:r>
    </w:p>
    <w:p w:rsidR="00500929" w:rsidRPr="00931D0F" w:rsidRDefault="00500929" w:rsidP="00375D42">
      <w:pPr>
        <w:spacing w:after="0"/>
        <w:ind w:firstLine="851"/>
        <w:jc w:val="both"/>
        <w:rPr>
          <w:rFonts w:ascii="Times New Roman" w:hAnsi="Times New Roman" w:cs="Times New Roman"/>
          <w:b/>
          <w:sz w:val="28"/>
          <w:szCs w:val="28"/>
          <w:lang w:val="uk-UA"/>
        </w:rPr>
      </w:pPr>
      <w:r w:rsidRPr="00931D0F">
        <w:rPr>
          <w:rFonts w:ascii="Times New Roman" w:hAnsi="Times New Roman" w:cs="Times New Roman"/>
          <w:b/>
          <w:sz w:val="28"/>
          <w:szCs w:val="28"/>
          <w:lang w:val="uk-UA"/>
        </w:rPr>
        <w:t xml:space="preserve">Мета: </w:t>
      </w:r>
    </w:p>
    <w:p w:rsidR="00500929" w:rsidRPr="00506E3A" w:rsidRDefault="00500929" w:rsidP="00375D42">
      <w:pPr>
        <w:pStyle w:val="a4"/>
        <w:numPr>
          <w:ilvl w:val="0"/>
          <w:numId w:val="1"/>
        </w:numPr>
        <w:spacing w:after="0"/>
        <w:ind w:left="0" w:firstLine="851"/>
        <w:jc w:val="both"/>
        <w:rPr>
          <w:rFonts w:ascii="Times New Roman" w:hAnsi="Times New Roman" w:cs="Times New Roman"/>
          <w:sz w:val="28"/>
          <w:szCs w:val="28"/>
          <w:lang w:val="uk-UA"/>
        </w:rPr>
      </w:pPr>
      <w:r w:rsidRPr="00931D0F">
        <w:rPr>
          <w:rFonts w:ascii="Times New Roman" w:hAnsi="Times New Roman" w:cs="Times New Roman"/>
          <w:i/>
          <w:sz w:val="28"/>
          <w:szCs w:val="28"/>
          <w:lang w:val="uk-UA"/>
        </w:rPr>
        <w:t>навчальна:</w:t>
      </w:r>
      <w:r w:rsidRPr="00506E3A">
        <w:rPr>
          <w:rFonts w:ascii="Times New Roman" w:hAnsi="Times New Roman" w:cs="Times New Roman"/>
          <w:sz w:val="28"/>
          <w:szCs w:val="28"/>
          <w:lang w:val="uk-UA"/>
        </w:rPr>
        <w:t xml:space="preserve"> ознайоми</w:t>
      </w:r>
      <w:r>
        <w:rPr>
          <w:rFonts w:ascii="Times New Roman" w:hAnsi="Times New Roman" w:cs="Times New Roman"/>
          <w:sz w:val="28"/>
          <w:szCs w:val="28"/>
          <w:lang w:val="uk-UA"/>
        </w:rPr>
        <w:t>ти</w:t>
      </w:r>
      <w:r w:rsidRPr="00506E3A">
        <w:rPr>
          <w:rFonts w:ascii="Times New Roman" w:hAnsi="Times New Roman" w:cs="Times New Roman"/>
          <w:sz w:val="28"/>
          <w:szCs w:val="28"/>
          <w:lang w:val="uk-UA"/>
        </w:rPr>
        <w:t xml:space="preserve"> учнів із </w:t>
      </w:r>
      <w:r>
        <w:rPr>
          <w:rFonts w:ascii="Times New Roman" w:hAnsi="Times New Roman" w:cs="Times New Roman"/>
          <w:sz w:val="28"/>
          <w:szCs w:val="28"/>
          <w:lang w:val="uk-UA"/>
        </w:rPr>
        <w:t>особливостями співпраці між Україною та Європейським Союзом, розкрити основні структурні елементи Угоди</w:t>
      </w:r>
      <w:r w:rsidRPr="00506E3A">
        <w:rPr>
          <w:rFonts w:ascii="Times New Roman" w:hAnsi="Times New Roman" w:cs="Times New Roman"/>
          <w:sz w:val="28"/>
          <w:szCs w:val="28"/>
          <w:lang w:val="uk-UA"/>
        </w:rPr>
        <w:t>;</w:t>
      </w:r>
    </w:p>
    <w:p w:rsidR="00500929" w:rsidRPr="00375D42" w:rsidRDefault="00500929" w:rsidP="00375D42">
      <w:pPr>
        <w:pStyle w:val="a4"/>
        <w:numPr>
          <w:ilvl w:val="0"/>
          <w:numId w:val="1"/>
        </w:numPr>
        <w:spacing w:after="0"/>
        <w:ind w:left="0" w:firstLine="851"/>
        <w:jc w:val="both"/>
        <w:rPr>
          <w:rFonts w:ascii="Times New Roman" w:hAnsi="Times New Roman" w:cs="Times New Roman"/>
          <w:sz w:val="28"/>
          <w:szCs w:val="28"/>
          <w:lang w:val="uk-UA"/>
        </w:rPr>
      </w:pPr>
      <w:r w:rsidRPr="00375D42">
        <w:rPr>
          <w:rFonts w:ascii="Times New Roman" w:hAnsi="Times New Roman" w:cs="Times New Roman"/>
          <w:i/>
          <w:sz w:val="28"/>
          <w:szCs w:val="28"/>
          <w:lang w:val="uk-UA"/>
        </w:rPr>
        <w:t xml:space="preserve">розвиваюча: </w:t>
      </w:r>
      <w:r w:rsidRPr="00375D42">
        <w:rPr>
          <w:rFonts w:ascii="Times New Roman" w:hAnsi="Times New Roman" w:cs="Times New Roman"/>
          <w:sz w:val="28"/>
          <w:szCs w:val="28"/>
          <w:lang w:val="uk-UA"/>
        </w:rPr>
        <w:t>розвиток</w:t>
      </w:r>
      <w:r w:rsidRPr="00375D42">
        <w:rPr>
          <w:rFonts w:ascii="Times New Roman" w:hAnsi="Times New Roman" w:cs="Times New Roman"/>
          <w:sz w:val="28"/>
          <w:szCs w:val="28"/>
          <w:lang w:val="uk-UA"/>
        </w:rPr>
        <w:t xml:space="preserve"> </w:t>
      </w:r>
      <w:r w:rsidR="00375D42" w:rsidRPr="00375D42">
        <w:rPr>
          <w:rFonts w:ascii="Times New Roman" w:hAnsi="Times New Roman" w:cs="Times New Roman"/>
          <w:sz w:val="28"/>
          <w:szCs w:val="28"/>
          <w:lang w:val="uk-UA"/>
        </w:rPr>
        <w:t>навичок до пошуку і опрацювання інформації щодо співпраці України та ЄС;</w:t>
      </w:r>
    </w:p>
    <w:p w:rsidR="00500929" w:rsidRPr="00506E3A" w:rsidRDefault="00500929" w:rsidP="00375D42">
      <w:pPr>
        <w:pStyle w:val="a4"/>
        <w:numPr>
          <w:ilvl w:val="0"/>
          <w:numId w:val="1"/>
        </w:numPr>
        <w:spacing w:after="0"/>
        <w:ind w:left="0" w:firstLine="851"/>
        <w:jc w:val="both"/>
        <w:rPr>
          <w:rFonts w:ascii="Times New Roman" w:hAnsi="Times New Roman" w:cs="Times New Roman"/>
          <w:sz w:val="28"/>
          <w:szCs w:val="28"/>
          <w:lang w:val="uk-UA"/>
        </w:rPr>
      </w:pPr>
      <w:r w:rsidRPr="00931D0F">
        <w:rPr>
          <w:rFonts w:ascii="Times New Roman" w:hAnsi="Times New Roman" w:cs="Times New Roman"/>
          <w:i/>
          <w:sz w:val="28"/>
          <w:szCs w:val="28"/>
          <w:lang w:val="uk-UA"/>
        </w:rPr>
        <w:t>виховна:</w:t>
      </w:r>
      <w:r w:rsidRPr="00506E3A">
        <w:rPr>
          <w:rFonts w:ascii="Times New Roman" w:hAnsi="Times New Roman" w:cs="Times New Roman"/>
          <w:sz w:val="28"/>
          <w:szCs w:val="28"/>
          <w:lang w:val="uk-UA"/>
        </w:rPr>
        <w:t xml:space="preserve"> виховати здатності </w:t>
      </w:r>
      <w:r>
        <w:rPr>
          <w:rFonts w:ascii="Times New Roman" w:hAnsi="Times New Roman" w:cs="Times New Roman"/>
          <w:sz w:val="28"/>
          <w:szCs w:val="28"/>
          <w:lang w:val="uk-UA"/>
        </w:rPr>
        <w:t>аналізувати відповідність реформ в Україні щодо Угоди про Асоціацію між Україною та ЄС</w:t>
      </w:r>
      <w:r w:rsidRPr="00506E3A">
        <w:rPr>
          <w:rFonts w:ascii="Times New Roman" w:hAnsi="Times New Roman" w:cs="Times New Roman"/>
          <w:sz w:val="28"/>
          <w:szCs w:val="28"/>
          <w:lang w:val="uk-UA"/>
        </w:rPr>
        <w:t>.</w:t>
      </w:r>
    </w:p>
    <w:p w:rsidR="00500929" w:rsidRPr="00506E3A" w:rsidRDefault="00500929" w:rsidP="00375D42">
      <w:pPr>
        <w:spacing w:after="0"/>
        <w:ind w:firstLine="851"/>
        <w:jc w:val="both"/>
        <w:rPr>
          <w:rFonts w:ascii="Times New Roman" w:hAnsi="Times New Roman" w:cs="Times New Roman"/>
          <w:sz w:val="28"/>
          <w:szCs w:val="28"/>
          <w:lang w:val="uk-UA"/>
        </w:rPr>
      </w:pPr>
      <w:r w:rsidRPr="00931D0F">
        <w:rPr>
          <w:rFonts w:ascii="Times New Roman" w:hAnsi="Times New Roman" w:cs="Times New Roman"/>
          <w:b/>
          <w:i/>
          <w:sz w:val="28"/>
          <w:szCs w:val="28"/>
          <w:lang w:val="uk-UA"/>
        </w:rPr>
        <w:t>Очікувані результати:</w:t>
      </w:r>
      <w:r w:rsidRPr="00506E3A">
        <w:rPr>
          <w:rFonts w:ascii="Times New Roman" w:hAnsi="Times New Roman" w:cs="Times New Roman"/>
          <w:sz w:val="28"/>
          <w:szCs w:val="28"/>
          <w:lang w:val="uk-UA"/>
        </w:rPr>
        <w:t xml:space="preserve"> після вивчення теми учні зможуть</w:t>
      </w:r>
    </w:p>
    <w:p w:rsidR="00500929" w:rsidRPr="00E00BE9" w:rsidRDefault="00500929" w:rsidP="00375D42">
      <w:pPr>
        <w:spacing w:after="0"/>
        <w:ind w:firstLine="851"/>
        <w:jc w:val="both"/>
        <w:rPr>
          <w:rFonts w:ascii="Times New Roman" w:hAnsi="Times New Roman" w:cs="Times New Roman"/>
          <w:sz w:val="28"/>
          <w:szCs w:val="28"/>
          <w:lang w:val="uk-UA"/>
        </w:rPr>
      </w:pPr>
      <w:r w:rsidRPr="00E00BE9">
        <w:rPr>
          <w:rFonts w:ascii="Times New Roman" w:hAnsi="Times New Roman" w:cs="Times New Roman"/>
          <w:sz w:val="28"/>
          <w:szCs w:val="28"/>
          <w:lang w:val="uk-UA"/>
        </w:rPr>
        <w:t xml:space="preserve">- охарактеризувати </w:t>
      </w:r>
      <w:r w:rsidR="00375D42" w:rsidRPr="00E00BE9">
        <w:rPr>
          <w:rFonts w:ascii="Times New Roman" w:hAnsi="Times New Roman" w:cs="Times New Roman"/>
          <w:sz w:val="28"/>
          <w:szCs w:val="28"/>
          <w:lang w:val="uk-UA"/>
        </w:rPr>
        <w:t>структуру Угоди про Асоціацію</w:t>
      </w:r>
      <w:r w:rsidRPr="00E00BE9">
        <w:rPr>
          <w:rFonts w:ascii="Times New Roman" w:hAnsi="Times New Roman" w:cs="Times New Roman"/>
          <w:sz w:val="28"/>
          <w:szCs w:val="28"/>
          <w:lang w:val="uk-UA"/>
        </w:rPr>
        <w:t xml:space="preserve">; </w:t>
      </w:r>
    </w:p>
    <w:p w:rsidR="00500929" w:rsidRPr="00E00BE9" w:rsidRDefault="00500929" w:rsidP="00375D42">
      <w:pPr>
        <w:spacing w:after="0"/>
        <w:ind w:firstLine="851"/>
        <w:jc w:val="both"/>
        <w:rPr>
          <w:rFonts w:ascii="Times New Roman" w:hAnsi="Times New Roman" w:cs="Times New Roman"/>
          <w:sz w:val="28"/>
          <w:szCs w:val="28"/>
          <w:lang w:val="uk-UA"/>
        </w:rPr>
      </w:pPr>
      <w:r w:rsidRPr="00E00BE9">
        <w:rPr>
          <w:rFonts w:ascii="Times New Roman" w:hAnsi="Times New Roman" w:cs="Times New Roman"/>
          <w:sz w:val="28"/>
          <w:szCs w:val="28"/>
          <w:lang w:val="uk-UA"/>
        </w:rPr>
        <w:t xml:space="preserve">- визначити основні напрямки </w:t>
      </w:r>
      <w:r w:rsidR="00375D42" w:rsidRPr="00E00BE9">
        <w:rPr>
          <w:rFonts w:ascii="Times New Roman" w:hAnsi="Times New Roman" w:cs="Times New Roman"/>
          <w:sz w:val="28"/>
          <w:szCs w:val="28"/>
          <w:lang w:val="uk-UA"/>
        </w:rPr>
        <w:t>співпраці між Україною та ЄС</w:t>
      </w:r>
      <w:r w:rsidRPr="00E00BE9">
        <w:rPr>
          <w:rFonts w:ascii="Times New Roman" w:hAnsi="Times New Roman" w:cs="Times New Roman"/>
          <w:sz w:val="28"/>
          <w:szCs w:val="28"/>
          <w:lang w:val="uk-UA"/>
        </w:rPr>
        <w:t>;</w:t>
      </w:r>
    </w:p>
    <w:p w:rsidR="00500929" w:rsidRPr="00E00BE9" w:rsidRDefault="00E00BE9" w:rsidP="00375D42">
      <w:pPr>
        <w:spacing w:after="0"/>
        <w:ind w:firstLine="851"/>
        <w:jc w:val="both"/>
        <w:rPr>
          <w:rFonts w:ascii="Times New Roman" w:hAnsi="Times New Roman" w:cs="Times New Roman"/>
          <w:sz w:val="28"/>
          <w:szCs w:val="28"/>
          <w:lang w:val="uk-UA"/>
        </w:rPr>
      </w:pPr>
      <w:r w:rsidRPr="00E00BE9">
        <w:rPr>
          <w:rFonts w:ascii="Times New Roman" w:hAnsi="Times New Roman" w:cs="Times New Roman"/>
          <w:sz w:val="28"/>
          <w:szCs w:val="28"/>
          <w:lang w:val="uk-UA"/>
        </w:rPr>
        <w:t xml:space="preserve">- прогнозувати можливі шляхи розвитку співпраці між Україною та ЄС в майбутньому. </w:t>
      </w:r>
      <w:r w:rsidR="00500929" w:rsidRPr="00E00BE9">
        <w:rPr>
          <w:rFonts w:ascii="Times New Roman" w:hAnsi="Times New Roman" w:cs="Times New Roman"/>
          <w:sz w:val="28"/>
          <w:szCs w:val="28"/>
          <w:lang w:val="uk-UA"/>
        </w:rPr>
        <w:t>.</w:t>
      </w:r>
    </w:p>
    <w:p w:rsidR="00500929" w:rsidRPr="00E00BE9" w:rsidRDefault="00500929" w:rsidP="00375D42">
      <w:pPr>
        <w:spacing w:after="0"/>
        <w:ind w:firstLine="851"/>
        <w:jc w:val="both"/>
        <w:rPr>
          <w:rFonts w:ascii="Times New Roman" w:hAnsi="Times New Roman" w:cs="Times New Roman"/>
          <w:sz w:val="28"/>
          <w:szCs w:val="28"/>
          <w:lang w:val="uk-UA"/>
        </w:rPr>
      </w:pPr>
      <w:r w:rsidRPr="00E00BE9">
        <w:rPr>
          <w:rFonts w:ascii="Times New Roman" w:hAnsi="Times New Roman" w:cs="Times New Roman"/>
          <w:b/>
          <w:i/>
          <w:sz w:val="28"/>
          <w:szCs w:val="28"/>
          <w:lang w:val="uk-UA"/>
        </w:rPr>
        <w:t>Основні поняття та терміни:</w:t>
      </w:r>
      <w:r w:rsidRPr="00E00BE9">
        <w:rPr>
          <w:rFonts w:ascii="Times New Roman" w:hAnsi="Times New Roman" w:cs="Times New Roman"/>
          <w:sz w:val="28"/>
          <w:szCs w:val="28"/>
          <w:lang w:val="uk-UA"/>
        </w:rPr>
        <w:t xml:space="preserve"> </w:t>
      </w:r>
      <w:r w:rsidR="00375D42" w:rsidRPr="00E00BE9">
        <w:rPr>
          <w:rFonts w:ascii="Times New Roman" w:hAnsi="Times New Roman" w:cs="Times New Roman"/>
          <w:sz w:val="28"/>
          <w:szCs w:val="28"/>
          <w:lang w:val="uk-UA"/>
        </w:rPr>
        <w:t>Угода про Асоціацію між Україною та Європейським Союзом</w:t>
      </w:r>
    </w:p>
    <w:p w:rsidR="00500929" w:rsidRPr="00506E3A" w:rsidRDefault="00500929" w:rsidP="00375D42">
      <w:pPr>
        <w:spacing w:after="0"/>
        <w:ind w:firstLine="851"/>
        <w:jc w:val="both"/>
        <w:rPr>
          <w:rFonts w:ascii="Times New Roman" w:hAnsi="Times New Roman" w:cs="Times New Roman"/>
          <w:sz w:val="28"/>
          <w:szCs w:val="28"/>
          <w:lang w:val="uk-UA"/>
        </w:rPr>
      </w:pPr>
      <w:r w:rsidRPr="00931D0F">
        <w:rPr>
          <w:rFonts w:ascii="Times New Roman" w:hAnsi="Times New Roman" w:cs="Times New Roman"/>
          <w:b/>
          <w:sz w:val="28"/>
          <w:szCs w:val="28"/>
          <w:lang w:val="uk-UA"/>
        </w:rPr>
        <w:t>Обладнання:</w:t>
      </w:r>
      <w:r w:rsidRPr="00506E3A">
        <w:rPr>
          <w:rFonts w:ascii="Times New Roman" w:hAnsi="Times New Roman" w:cs="Times New Roman"/>
          <w:sz w:val="28"/>
          <w:szCs w:val="28"/>
          <w:lang w:val="uk-UA"/>
        </w:rPr>
        <w:t xml:space="preserve"> комп’ютерна техніка, мультимедійний проектор, інтерактивна дошка</w:t>
      </w:r>
      <w:r>
        <w:rPr>
          <w:rFonts w:ascii="Times New Roman" w:hAnsi="Times New Roman" w:cs="Times New Roman"/>
          <w:sz w:val="28"/>
          <w:szCs w:val="28"/>
          <w:lang w:val="uk-UA"/>
        </w:rPr>
        <w:t>, таблички з датами і подіями,</w:t>
      </w:r>
      <w:r w:rsidR="00375D42">
        <w:rPr>
          <w:rFonts w:ascii="Times New Roman" w:hAnsi="Times New Roman" w:cs="Times New Roman"/>
          <w:sz w:val="28"/>
          <w:szCs w:val="28"/>
          <w:lang w:val="uk-UA"/>
        </w:rPr>
        <w:t xml:space="preserve"> сертифікати</w:t>
      </w:r>
    </w:p>
    <w:p w:rsidR="00500929" w:rsidRPr="00506E3A" w:rsidRDefault="00500929" w:rsidP="00375D42">
      <w:pPr>
        <w:spacing w:after="0"/>
        <w:ind w:firstLine="851"/>
        <w:jc w:val="center"/>
        <w:rPr>
          <w:rFonts w:ascii="Times New Roman" w:hAnsi="Times New Roman" w:cs="Times New Roman"/>
          <w:sz w:val="28"/>
          <w:szCs w:val="28"/>
          <w:lang w:val="uk-UA"/>
        </w:rPr>
      </w:pPr>
    </w:p>
    <w:p w:rsidR="00500929" w:rsidRPr="00506E3A" w:rsidRDefault="00500929" w:rsidP="00375D42">
      <w:pPr>
        <w:spacing w:after="0"/>
        <w:ind w:firstLine="851"/>
        <w:jc w:val="center"/>
        <w:rPr>
          <w:rFonts w:ascii="Times New Roman" w:hAnsi="Times New Roman" w:cs="Times New Roman"/>
          <w:b/>
          <w:sz w:val="28"/>
          <w:szCs w:val="28"/>
          <w:u w:val="single"/>
          <w:lang w:val="uk-UA"/>
        </w:rPr>
      </w:pPr>
      <w:r w:rsidRPr="00506E3A">
        <w:rPr>
          <w:rFonts w:ascii="Times New Roman" w:hAnsi="Times New Roman" w:cs="Times New Roman"/>
          <w:b/>
          <w:sz w:val="28"/>
          <w:szCs w:val="28"/>
          <w:u w:val="single"/>
          <w:lang w:val="uk-UA"/>
        </w:rPr>
        <w:t>Хід уроку</w:t>
      </w:r>
    </w:p>
    <w:p w:rsidR="00500929" w:rsidRPr="00506E3A" w:rsidRDefault="00500929" w:rsidP="00375D42">
      <w:pPr>
        <w:spacing w:after="0"/>
        <w:ind w:firstLine="851"/>
        <w:jc w:val="both"/>
        <w:rPr>
          <w:rFonts w:ascii="Times New Roman" w:hAnsi="Times New Roman" w:cs="Times New Roman"/>
          <w:sz w:val="28"/>
          <w:szCs w:val="28"/>
          <w:lang w:val="uk-UA"/>
        </w:rPr>
      </w:pPr>
      <w:r w:rsidRPr="00506E3A">
        <w:rPr>
          <w:rFonts w:ascii="Times New Roman" w:hAnsi="Times New Roman" w:cs="Times New Roman"/>
          <w:b/>
          <w:sz w:val="28"/>
          <w:szCs w:val="28"/>
          <w:lang w:val="uk-UA"/>
        </w:rPr>
        <w:t>Частина І.</w:t>
      </w:r>
      <w:r w:rsidRPr="00506E3A">
        <w:rPr>
          <w:rFonts w:ascii="Times New Roman" w:hAnsi="Times New Roman" w:cs="Times New Roman"/>
          <w:sz w:val="28"/>
          <w:szCs w:val="28"/>
          <w:lang w:val="uk-UA"/>
        </w:rPr>
        <w:t xml:space="preserve"> Привітання з учнями. Тренери представляються та дають загальну характеристику тренінгу (що очікувати учням).</w:t>
      </w:r>
    </w:p>
    <w:p w:rsidR="00500929" w:rsidRDefault="00500929" w:rsidP="00375D42">
      <w:pPr>
        <w:pStyle w:val="a3"/>
        <w:shd w:val="clear" w:color="auto" w:fill="FFFFFF"/>
        <w:spacing w:before="0" w:beforeAutospacing="0" w:after="0" w:afterAutospacing="0"/>
        <w:ind w:firstLine="851"/>
        <w:jc w:val="both"/>
        <w:textAlignment w:val="baseline"/>
        <w:rPr>
          <w:sz w:val="28"/>
          <w:szCs w:val="28"/>
          <w:lang w:val="uk-UA"/>
        </w:rPr>
      </w:pPr>
      <w:proofErr w:type="spellStart"/>
      <w:r w:rsidRPr="00500929">
        <w:rPr>
          <w:sz w:val="28"/>
          <w:szCs w:val="28"/>
          <w:lang w:val="uk-UA"/>
        </w:rPr>
        <w:t>Енерджазер</w:t>
      </w:r>
      <w:proofErr w:type="spellEnd"/>
      <w:r w:rsidRPr="00500929">
        <w:rPr>
          <w:sz w:val="28"/>
          <w:szCs w:val="28"/>
          <w:lang w:val="uk-UA"/>
        </w:rPr>
        <w:t xml:space="preserve">. </w:t>
      </w:r>
      <w:r w:rsidRPr="00500929">
        <w:rPr>
          <w:lang w:val="uk-UA"/>
        </w:rPr>
        <w:t xml:space="preserve">Мета </w:t>
      </w:r>
      <w:r w:rsidRPr="00500929">
        <w:rPr>
          <w:sz w:val="28"/>
          <w:szCs w:val="28"/>
          <w:lang w:val="uk-UA"/>
        </w:rPr>
        <w:t xml:space="preserve">– повторити та закріпити отриману </w:t>
      </w:r>
      <w:r>
        <w:rPr>
          <w:sz w:val="28"/>
          <w:szCs w:val="28"/>
          <w:lang w:val="uk-UA"/>
        </w:rPr>
        <w:t>інформацію за попередні уроки</w:t>
      </w:r>
      <w:r w:rsidRPr="00500929">
        <w:rPr>
          <w:sz w:val="28"/>
          <w:szCs w:val="28"/>
          <w:lang w:val="uk-UA"/>
        </w:rPr>
        <w:t xml:space="preserve">. У приміщенні в різних місцях розкладаються таблички з різними датами, а кожен з учасників отримує назви різних подій. Завдання учасника правильно знайти „своє” місце. При перевірці кожен може ще раз кількома словами нагадати про свою подію. Для ускладнення можна додати декілька „порожніх” дат або подій. (10 хвилин) </w:t>
      </w:r>
    </w:p>
    <w:p w:rsidR="00500929" w:rsidRPr="00500929" w:rsidRDefault="00500929" w:rsidP="00375D42">
      <w:pPr>
        <w:pStyle w:val="a3"/>
        <w:shd w:val="clear" w:color="auto" w:fill="FFFFFF"/>
        <w:spacing w:before="0" w:beforeAutospacing="0" w:after="0" w:afterAutospacing="0"/>
        <w:ind w:firstLine="851"/>
        <w:jc w:val="both"/>
        <w:textAlignment w:val="baseline"/>
        <w:rPr>
          <w:b/>
          <w:sz w:val="28"/>
          <w:szCs w:val="28"/>
          <w:lang w:val="uk-UA"/>
        </w:rPr>
      </w:pPr>
      <w:r w:rsidRPr="00500929">
        <w:rPr>
          <w:b/>
          <w:sz w:val="28"/>
          <w:szCs w:val="28"/>
          <w:lang w:val="uk-UA"/>
        </w:rPr>
        <w:t>Частина ІІ. Інформаційний блок</w:t>
      </w:r>
    </w:p>
    <w:p w:rsidR="00500929" w:rsidRPr="00500929" w:rsidRDefault="00500929" w:rsidP="00375D42">
      <w:pPr>
        <w:spacing w:after="0" w:line="257" w:lineRule="auto"/>
        <w:ind w:firstLine="851"/>
        <w:jc w:val="both"/>
        <w:rPr>
          <w:rFonts w:ascii="Times New Roman" w:hAnsi="Times New Roman" w:cs="Times New Roman"/>
          <w:sz w:val="28"/>
          <w:szCs w:val="28"/>
          <w:lang w:val="uk-UA"/>
        </w:rPr>
      </w:pPr>
      <w:r w:rsidRPr="00500929">
        <w:rPr>
          <w:rFonts w:ascii="Times New Roman" w:hAnsi="Times New Roman" w:cs="Times New Roman"/>
          <w:sz w:val="28"/>
          <w:szCs w:val="28"/>
          <w:lang w:val="uk-UA"/>
        </w:rPr>
        <w:t>Україна взяла курс на євроінтеграцію. Це свідомий вибір громадян та ключова вимога Революції Гідності 2013-2014 років. Українська влада оголосила перспективу членства в ЄС стратегічним орієнтиром українських прагнень до перетворення і ключовою метою, заради якої проводять реформи.</w:t>
      </w:r>
    </w:p>
    <w:p w:rsidR="00500929" w:rsidRPr="00500929" w:rsidRDefault="00500929" w:rsidP="00375D42">
      <w:pPr>
        <w:spacing w:after="0" w:line="257" w:lineRule="auto"/>
        <w:ind w:firstLine="851"/>
        <w:jc w:val="both"/>
        <w:rPr>
          <w:rFonts w:ascii="Times New Roman" w:hAnsi="Times New Roman" w:cs="Times New Roman"/>
          <w:sz w:val="28"/>
          <w:szCs w:val="28"/>
          <w:lang w:val="uk-UA"/>
        </w:rPr>
      </w:pPr>
      <w:r w:rsidRPr="00500929">
        <w:rPr>
          <w:rFonts w:ascii="Times New Roman" w:hAnsi="Times New Roman" w:cs="Times New Roman"/>
          <w:sz w:val="28"/>
          <w:szCs w:val="28"/>
          <w:lang w:val="uk-UA"/>
        </w:rPr>
        <w:t>Угода про асоціацію між Україною та ЄС — це результат поступової еволюції відносин з набуття Україною незалежності, які розпочалися ще у 1997 році. Це наслідок активної участі України в:</w:t>
      </w:r>
    </w:p>
    <w:p w:rsidR="00500929" w:rsidRPr="00500929" w:rsidRDefault="00500929" w:rsidP="00375D42">
      <w:pPr>
        <w:spacing w:after="0" w:line="257" w:lineRule="auto"/>
        <w:ind w:firstLine="851"/>
        <w:jc w:val="both"/>
        <w:rPr>
          <w:rFonts w:ascii="Times New Roman" w:hAnsi="Times New Roman" w:cs="Times New Roman"/>
          <w:sz w:val="28"/>
          <w:szCs w:val="28"/>
          <w:lang w:val="uk-UA"/>
        </w:rPr>
      </w:pPr>
    </w:p>
    <w:p w:rsidR="00500929" w:rsidRPr="00500929" w:rsidRDefault="00500929"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b/>
          <w:i/>
          <w:sz w:val="28"/>
          <w:szCs w:val="28"/>
          <w:lang w:val="uk-UA"/>
        </w:rPr>
        <w:lastRenderedPageBreak/>
        <w:t>Європейській політиці сусідства (2003 р.),</w:t>
      </w:r>
      <w:r w:rsidRPr="00500929">
        <w:rPr>
          <w:rFonts w:ascii="Times New Roman" w:hAnsi="Times New Roman" w:cs="Times New Roman"/>
          <w:sz w:val="28"/>
          <w:szCs w:val="28"/>
          <w:lang w:val="uk-UA"/>
        </w:rPr>
        <w:t xml:space="preserve"> яка стосується відносин між ЄС та країнами-сусідами. Її мета – поширення загальноєвропейських цінностей поміж «тісного кола друзів». Ця політика полягає у наданні певних стимулів в обмін на виконання відповідних вимог. Її реалізують через Плани дій, які приймають окремо щодо кожної країни-сусіда.</w:t>
      </w:r>
    </w:p>
    <w:p w:rsidR="004A3ADF" w:rsidRDefault="00500929"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b/>
          <w:i/>
          <w:sz w:val="28"/>
          <w:szCs w:val="28"/>
          <w:lang w:val="uk-UA"/>
        </w:rPr>
        <w:t>«Східному Партнерстві» (2008 р.)</w:t>
      </w:r>
      <w:r w:rsidRPr="00500929">
        <w:rPr>
          <w:rFonts w:ascii="Times New Roman" w:hAnsi="Times New Roman" w:cs="Times New Roman"/>
          <w:sz w:val="28"/>
          <w:szCs w:val="28"/>
          <w:lang w:val="uk-UA"/>
        </w:rPr>
        <w:t xml:space="preserve"> — політиці ЄС щодо східних країн-сусідів (Вірменії, Азербайджану, Білорусі, Грузії, Молдови та України). Вона передбачає політичну асоціацію та економічну інтеграцію цих країн до ЄС та поступову лібералізацію візового режиму.</w:t>
      </w:r>
    </w:p>
    <w:p w:rsidR="00375D42" w:rsidRPr="00375D42" w:rsidRDefault="00375D42" w:rsidP="00375D42">
      <w:pPr>
        <w:spacing w:after="0" w:line="257" w:lineRule="auto"/>
        <w:ind w:firstLine="851"/>
        <w:jc w:val="both"/>
        <w:rPr>
          <w:rFonts w:ascii="Times New Roman" w:hAnsi="Times New Roman" w:cs="Times New Roman"/>
          <w:i/>
          <w:sz w:val="28"/>
          <w:szCs w:val="28"/>
          <w:lang w:val="uk-UA"/>
        </w:rPr>
      </w:pPr>
      <w:r w:rsidRPr="00375D42">
        <w:rPr>
          <w:rFonts w:ascii="Times New Roman" w:hAnsi="Times New Roman" w:cs="Times New Roman"/>
          <w:i/>
          <w:sz w:val="28"/>
          <w:szCs w:val="28"/>
          <w:lang w:val="uk-UA"/>
        </w:rPr>
        <w:t xml:space="preserve">Угода про асоціацію між Україною та ЄС налічує 1200 сторінок і складається з Преамбули, семи розділів, додатків і трьох протоколів.  </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sz w:val="28"/>
          <w:szCs w:val="28"/>
          <w:lang w:val="uk-UA"/>
        </w:rPr>
        <w:t>Преамбула – вступна декларація до Угоди, яка визначає мету і базові її засади.</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sz w:val="28"/>
          <w:szCs w:val="28"/>
          <w:lang w:val="uk-UA"/>
        </w:rPr>
        <w:t>Сім розділів: "Загальні принципи", "Політичне співробітництво і зовнішня політика та політика безпеки", "Юстиція, свобода і безпека", "Торгівля та суміжні питання (ГВЗВТ)", "Економічна та галузева співпраця", "Фінансове співробітництво та боротьба з шахрайством".</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sz w:val="28"/>
          <w:szCs w:val="28"/>
          <w:lang w:val="uk-UA"/>
        </w:rPr>
        <w:t>Текст Угоди також містить інституційні, загальні та прикінцеві положення.</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sz w:val="28"/>
          <w:szCs w:val="28"/>
          <w:lang w:val="uk-UA"/>
        </w:rPr>
        <w:t>Угода має 43 Додатки, в яких визначені нормативні акти ЄС, що мають бути ухвалені до визначеної дати, і Три Протоколи.</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p>
    <w:p w:rsidR="00375D42" w:rsidRPr="00375D42" w:rsidRDefault="00375D42" w:rsidP="00375D42">
      <w:pPr>
        <w:spacing w:after="0" w:line="257" w:lineRule="auto"/>
        <w:ind w:firstLine="851"/>
        <w:jc w:val="both"/>
        <w:rPr>
          <w:rFonts w:ascii="Times New Roman" w:hAnsi="Times New Roman" w:cs="Times New Roman"/>
          <w:i/>
          <w:sz w:val="28"/>
          <w:szCs w:val="28"/>
          <w:lang w:val="uk-UA"/>
        </w:rPr>
      </w:pPr>
      <w:r w:rsidRPr="00375D42">
        <w:rPr>
          <w:rFonts w:ascii="Times New Roman" w:hAnsi="Times New Roman" w:cs="Times New Roman"/>
          <w:i/>
          <w:sz w:val="28"/>
          <w:szCs w:val="28"/>
          <w:lang w:val="uk-UA"/>
        </w:rPr>
        <w:t>Преамбула</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sz w:val="28"/>
          <w:szCs w:val="28"/>
          <w:lang w:val="uk-UA"/>
        </w:rPr>
        <w:t>У Преамбулі відображені найважливіші аспекти відносин між ЄС і Україною. Попри свій необов’язковий вступний характер, Преамбула містить істотні посилання на спільні цінності та визначає рамки всієї Угоди.</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p>
    <w:p w:rsidR="00375D42" w:rsidRPr="00375D42" w:rsidRDefault="00375D42" w:rsidP="00375D42">
      <w:pPr>
        <w:spacing w:after="0" w:line="257" w:lineRule="auto"/>
        <w:ind w:firstLine="851"/>
        <w:jc w:val="both"/>
        <w:rPr>
          <w:rFonts w:ascii="Times New Roman" w:hAnsi="Times New Roman" w:cs="Times New Roman"/>
          <w:i/>
          <w:sz w:val="28"/>
          <w:szCs w:val="28"/>
          <w:lang w:val="uk-UA"/>
        </w:rPr>
      </w:pPr>
      <w:r w:rsidRPr="00375D42">
        <w:rPr>
          <w:rFonts w:ascii="Times New Roman" w:hAnsi="Times New Roman" w:cs="Times New Roman"/>
          <w:i/>
          <w:sz w:val="28"/>
          <w:szCs w:val="28"/>
          <w:lang w:val="uk-UA"/>
        </w:rPr>
        <w:t>Розділ І. Загальні принципи</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sz w:val="28"/>
          <w:szCs w:val="28"/>
          <w:lang w:val="uk-UA"/>
        </w:rPr>
        <w:t>У Розділі І визначені загальні принципи, які є основою для внутрішніх і зовнішніх процедур Асоціації між ЄС та Україною. Такі принципи, як дотримання принципів демократії, прав і свобод людини, верховенства права; забезпечення дотримання принципів суверенності та територіальної цілісності, непорушності кордонів і незалежності, а також боротьби з розповсюдженням зброї масового знищення. Ключовими елементами підтримки та розширення відносин між ЄС і Україною є принципи вільної ринкової економіки, належного державного управління, боротьби з корупцією та різними формами транснаціональної організованої злочинності й тероризмом, сприяння сталому розвитку та ефективним багатостороннім контактам.</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p>
    <w:p w:rsidR="00375D42" w:rsidRPr="00375D42" w:rsidRDefault="00375D42" w:rsidP="00375D42">
      <w:pPr>
        <w:spacing w:after="0" w:line="257" w:lineRule="auto"/>
        <w:ind w:firstLine="851"/>
        <w:jc w:val="both"/>
        <w:rPr>
          <w:rFonts w:ascii="Times New Roman" w:hAnsi="Times New Roman" w:cs="Times New Roman"/>
          <w:i/>
          <w:sz w:val="28"/>
          <w:szCs w:val="28"/>
          <w:lang w:val="uk-UA"/>
        </w:rPr>
      </w:pPr>
      <w:r w:rsidRPr="00375D42">
        <w:rPr>
          <w:rFonts w:ascii="Times New Roman" w:hAnsi="Times New Roman" w:cs="Times New Roman"/>
          <w:i/>
          <w:sz w:val="28"/>
          <w:szCs w:val="28"/>
          <w:lang w:val="uk-UA"/>
        </w:rPr>
        <w:lastRenderedPageBreak/>
        <w:t>Розділ ІІ. Політичний діалог і реформи, політична асоціація, співробітництво і зближення у сфері зовнішньої політики і політики безпеки</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sz w:val="28"/>
          <w:szCs w:val="28"/>
          <w:lang w:val="uk-UA"/>
        </w:rPr>
        <w:t>Розділ передбачає посилення політичного діалогу і співробітництва між ЄС і Україною з огляду на поступового зближення у сфері Спільної зовнішньої політики та політики безпеки і Спільної політики безпеки та оборони. У ньому охоплюються такі питання як цілі політичного діалогу, діалог і співробітництво щодо внутрішніх реформ, а також зовнішню політику та політику безпеки.</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sz w:val="28"/>
          <w:szCs w:val="28"/>
          <w:lang w:val="uk-UA"/>
        </w:rPr>
        <w:t xml:space="preserve">За положеннями Угоди, співпраця у цьому напрямку передбачає низку форумів для проведення політичного діалогу: </w:t>
      </w:r>
      <w:proofErr w:type="spellStart"/>
      <w:r w:rsidRPr="00375D42">
        <w:rPr>
          <w:rFonts w:ascii="Times New Roman" w:hAnsi="Times New Roman" w:cs="Times New Roman"/>
          <w:sz w:val="28"/>
          <w:szCs w:val="28"/>
          <w:lang w:val="uk-UA"/>
        </w:rPr>
        <w:t>Самміт</w:t>
      </w:r>
      <w:proofErr w:type="spellEnd"/>
      <w:r w:rsidRPr="00375D42">
        <w:rPr>
          <w:rFonts w:ascii="Times New Roman" w:hAnsi="Times New Roman" w:cs="Times New Roman"/>
          <w:sz w:val="28"/>
          <w:szCs w:val="28"/>
          <w:lang w:val="uk-UA"/>
        </w:rPr>
        <w:t xml:space="preserve"> Україна-ЄС та Рада з питань асоціації.</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sz w:val="28"/>
          <w:szCs w:val="28"/>
          <w:lang w:val="uk-UA"/>
        </w:rPr>
        <w:t>Окрему статтю Розділу ІІ присвячено Міжнародному кримінальному суду із закликом до співпраці між ЄС і Україною у забезпеченні миру та міжнародної справедливості шляхом ратифікації та впровадження Римського статуту Міжнародного кримінального суду і його відповідних інструментів.</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p>
    <w:p w:rsidR="00375D42" w:rsidRPr="00375D42" w:rsidRDefault="00375D42" w:rsidP="00375D42">
      <w:pPr>
        <w:spacing w:after="0" w:line="257" w:lineRule="auto"/>
        <w:ind w:firstLine="851"/>
        <w:jc w:val="both"/>
        <w:rPr>
          <w:rFonts w:ascii="Times New Roman" w:hAnsi="Times New Roman" w:cs="Times New Roman"/>
          <w:i/>
          <w:sz w:val="28"/>
          <w:szCs w:val="28"/>
          <w:lang w:val="uk-UA"/>
        </w:rPr>
      </w:pPr>
      <w:r w:rsidRPr="00375D42">
        <w:rPr>
          <w:rFonts w:ascii="Times New Roman" w:hAnsi="Times New Roman" w:cs="Times New Roman"/>
          <w:i/>
          <w:sz w:val="28"/>
          <w:szCs w:val="28"/>
          <w:lang w:val="uk-UA"/>
        </w:rPr>
        <w:t>Розділ ІІІ. Юстиція, свобода і безпека</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sz w:val="28"/>
          <w:szCs w:val="28"/>
          <w:lang w:val="uk-UA"/>
        </w:rPr>
        <w:t>Стосується таких питань як верховенство права та повага до прав людини, захист персональних даних, співробітництво у сфері міграції, надання притулку та прикордонного контролю, поводження з робітниками, мобільність робочої сили. рух осіб, відмивання грошей і фінансування тероризму, співпраця у боротьбі з незаконним обігом наркотиків, боротьба зі злочинністю та корупцією, співробітництво у боротьбі з тероризмом, а також співпраця у галузі права. У рамках Угоди ЄС та Україна зобов’язалися посилити діалог і співробітництво з питань міграції, надання притулку та прикордонного контролю.</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p>
    <w:p w:rsidR="00375D42" w:rsidRPr="00375D42" w:rsidRDefault="00375D42" w:rsidP="00375D42">
      <w:pPr>
        <w:spacing w:after="0" w:line="257" w:lineRule="auto"/>
        <w:ind w:firstLine="851"/>
        <w:jc w:val="both"/>
        <w:rPr>
          <w:rFonts w:ascii="Times New Roman" w:hAnsi="Times New Roman" w:cs="Times New Roman"/>
          <w:i/>
          <w:sz w:val="28"/>
          <w:szCs w:val="28"/>
          <w:lang w:val="uk-UA"/>
        </w:rPr>
      </w:pPr>
      <w:r w:rsidRPr="00375D42">
        <w:rPr>
          <w:rFonts w:ascii="Times New Roman" w:hAnsi="Times New Roman" w:cs="Times New Roman"/>
          <w:i/>
          <w:sz w:val="28"/>
          <w:szCs w:val="28"/>
          <w:lang w:val="uk-UA"/>
        </w:rPr>
        <w:t>Розділ ІV. Торгівля і питання, пов’язані з торгівлею</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sz w:val="28"/>
          <w:szCs w:val="28"/>
          <w:lang w:val="uk-UA"/>
        </w:rPr>
        <w:t>Розділ присвячений торгівлі та суміжним питанням. Економічна інтеграція у рамках Глибокої та всеосяжної Зони вільної торгівлі (ГВЗВТ) покликана стати потужним стимулом для економічного зростання країни, сприяти реальній економічній модернізації та інтеграції з ЄС.</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sz w:val="28"/>
          <w:szCs w:val="28"/>
          <w:lang w:val="uk-UA"/>
        </w:rPr>
        <w:t>ГВЗВТ має забезпечити сприятливий клімат для економічних відносин між Україною та ЄС.</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p>
    <w:p w:rsidR="00375D42" w:rsidRPr="00375D42" w:rsidRDefault="00375D42" w:rsidP="00375D42">
      <w:pPr>
        <w:spacing w:after="0" w:line="257" w:lineRule="auto"/>
        <w:ind w:firstLine="851"/>
        <w:jc w:val="both"/>
        <w:rPr>
          <w:rFonts w:ascii="Times New Roman" w:hAnsi="Times New Roman" w:cs="Times New Roman"/>
          <w:i/>
          <w:sz w:val="28"/>
          <w:szCs w:val="28"/>
          <w:lang w:val="uk-UA"/>
        </w:rPr>
      </w:pPr>
      <w:r w:rsidRPr="00375D42">
        <w:rPr>
          <w:rFonts w:ascii="Times New Roman" w:hAnsi="Times New Roman" w:cs="Times New Roman"/>
          <w:i/>
          <w:sz w:val="28"/>
          <w:szCs w:val="28"/>
          <w:lang w:val="uk-UA"/>
        </w:rPr>
        <w:t>Розділ V. Економічне та галузеве співробітництво</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sz w:val="28"/>
          <w:szCs w:val="28"/>
          <w:lang w:val="uk-UA"/>
        </w:rPr>
        <w:t xml:space="preserve">Розділ містить 28 глав, які стосуються питань енергетичної співпраці, макроекономічного співробітництва, управління державними фінансами, </w:t>
      </w:r>
      <w:r w:rsidRPr="00375D42">
        <w:rPr>
          <w:rFonts w:ascii="Times New Roman" w:hAnsi="Times New Roman" w:cs="Times New Roman"/>
          <w:sz w:val="28"/>
          <w:szCs w:val="28"/>
          <w:lang w:val="uk-UA"/>
        </w:rPr>
        <w:lastRenderedPageBreak/>
        <w:t>оподаткування, статистики, екології, транспорту, співробітництва у космічній сфері, науково-технічної співпраці, промислової політики та політики підприємств, видобувної та металургійної промисловості, фінансових послуг, корпоративного права, корпоративного управління, бухгалтерського обліку й аудиту, інформаційного суспільства, аудіовізуальної політики, туризму, сільського господарства та розвитку сільських районів, рибальства і морської політики, річки Дунай, захисту прав споживачів, співробітництва у сфері зайнятості, соціальної політики та політики рівних можливостей, охорони здоров'я, освіти, навчання і молоді, культури, спорту і фізичної активності, громадянського суспільства, транскордонного та регіонального співробітництва, участі у проектах і програмах європейських агенцій на основі поступового наближення законодавства України до правил ЄС, а також, де доцільно, до міжнародних норм і стандартів.</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p>
    <w:p w:rsidR="00375D42" w:rsidRPr="00375D42" w:rsidRDefault="00375D42" w:rsidP="00375D42">
      <w:pPr>
        <w:spacing w:after="0" w:line="257" w:lineRule="auto"/>
        <w:ind w:firstLine="851"/>
        <w:jc w:val="both"/>
        <w:rPr>
          <w:rFonts w:ascii="Times New Roman" w:hAnsi="Times New Roman" w:cs="Times New Roman"/>
          <w:i/>
          <w:sz w:val="28"/>
          <w:szCs w:val="28"/>
          <w:lang w:val="uk-UA"/>
        </w:rPr>
      </w:pPr>
      <w:r w:rsidRPr="00375D42">
        <w:rPr>
          <w:rFonts w:ascii="Times New Roman" w:hAnsi="Times New Roman" w:cs="Times New Roman"/>
          <w:i/>
          <w:sz w:val="28"/>
          <w:szCs w:val="28"/>
          <w:lang w:val="uk-UA"/>
        </w:rPr>
        <w:t>Розділ VІ. Фінансове співробітництво і боротьба з шахрайством</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sz w:val="28"/>
          <w:szCs w:val="28"/>
          <w:lang w:val="uk-UA"/>
        </w:rPr>
        <w:t>Угода передбачає можливості для України отримати переваги від фінансової допомоги ЄС завдяки існуючим механізмам та інструментам фінансування для досягнення цілей Угоди про асоціацію. Пріоритетні сфери фінансової допомоги ЄС Україні визначаються відповідними індикативними програмами, які відображатимуть узгоджені ЄС і Україною пріоритети політики.</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p>
    <w:p w:rsidR="00375D42" w:rsidRPr="00375D42" w:rsidRDefault="00375D42" w:rsidP="00375D42">
      <w:pPr>
        <w:spacing w:after="0" w:line="257" w:lineRule="auto"/>
        <w:ind w:firstLine="851"/>
        <w:jc w:val="both"/>
        <w:rPr>
          <w:rFonts w:ascii="Times New Roman" w:hAnsi="Times New Roman" w:cs="Times New Roman"/>
          <w:i/>
          <w:sz w:val="28"/>
          <w:szCs w:val="28"/>
          <w:lang w:val="uk-UA"/>
        </w:rPr>
      </w:pPr>
      <w:r w:rsidRPr="00375D42">
        <w:rPr>
          <w:rFonts w:ascii="Times New Roman" w:hAnsi="Times New Roman" w:cs="Times New Roman"/>
          <w:i/>
          <w:sz w:val="28"/>
          <w:szCs w:val="28"/>
          <w:lang w:val="uk-UA"/>
        </w:rPr>
        <w:t>Розділ VІІ. Інституційні, загальні та прикінцеві положення</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sz w:val="28"/>
          <w:szCs w:val="28"/>
          <w:lang w:val="uk-UA"/>
        </w:rPr>
        <w:t xml:space="preserve">Угода про асоціацію передбачає спеціальне інституційне утворення для відносин ЄС та України. На найвищому рівні – </w:t>
      </w:r>
      <w:proofErr w:type="spellStart"/>
      <w:r w:rsidRPr="00375D42">
        <w:rPr>
          <w:rFonts w:ascii="Times New Roman" w:hAnsi="Times New Roman" w:cs="Times New Roman"/>
          <w:sz w:val="28"/>
          <w:szCs w:val="28"/>
          <w:lang w:val="uk-UA"/>
        </w:rPr>
        <w:t>Самміт</w:t>
      </w:r>
      <w:proofErr w:type="spellEnd"/>
      <w:r w:rsidRPr="00375D42">
        <w:rPr>
          <w:rFonts w:ascii="Times New Roman" w:hAnsi="Times New Roman" w:cs="Times New Roman"/>
          <w:sz w:val="28"/>
          <w:szCs w:val="28"/>
          <w:lang w:val="uk-UA"/>
        </w:rPr>
        <w:t xml:space="preserve"> ЄС-Україна, що забезпечує діалог найвищого рівня і платформу для зустрічей президентів. На міністерському рівні – діалог у рамках Ради з питань асоціації, яка може проводити зустрічі у будь-якому форматі. Допомогу Раді з питань асоціації надає Комітет з питань асоціації з підкомітетами з галузевого співробітництва. Угода про асоціацію передбачає і парламентську співпрацю, зокрема, у рамках Парламентського комітету з питань асоціації. У рамках Угоди було передбачено і вже функціонує Платформа громадянського суспільства, яка має змогу надавати рекомендації Раді з питань асоціації.</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p>
    <w:p w:rsidR="00375D42" w:rsidRPr="00375D42" w:rsidRDefault="00375D42" w:rsidP="00375D42">
      <w:pPr>
        <w:spacing w:after="0" w:line="257" w:lineRule="auto"/>
        <w:ind w:firstLine="851"/>
        <w:jc w:val="both"/>
        <w:rPr>
          <w:rFonts w:ascii="Times New Roman" w:hAnsi="Times New Roman" w:cs="Times New Roman"/>
          <w:i/>
          <w:sz w:val="28"/>
          <w:szCs w:val="28"/>
          <w:lang w:val="uk-UA"/>
        </w:rPr>
      </w:pPr>
      <w:r w:rsidRPr="00375D42">
        <w:rPr>
          <w:rFonts w:ascii="Times New Roman" w:hAnsi="Times New Roman" w:cs="Times New Roman"/>
          <w:i/>
          <w:sz w:val="28"/>
          <w:szCs w:val="28"/>
          <w:lang w:val="uk-UA"/>
        </w:rPr>
        <w:t>Текст Угоди містить такі загальні та кінцеві положення</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sz w:val="28"/>
          <w:szCs w:val="28"/>
          <w:lang w:val="uk-UA"/>
        </w:rPr>
        <w:t>Угода встановлює конкретні строки для узгодження українського законодавства з відповідним законодавством ЄС, які коливаються у межах від 2 до 10 років після набуття Угодою чинності.</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sz w:val="28"/>
          <w:szCs w:val="28"/>
          <w:lang w:val="uk-UA"/>
        </w:rPr>
        <w:lastRenderedPageBreak/>
        <w:t>Для перевірки виконання встановлених зобов’язань в Угоді передбачені спеціальні положення щодо моніторингу, що означає здійснення постійного оцінювання стану виконання і реалізації заходів та зобов’язань, передбачених Угодою.</w:t>
      </w:r>
    </w:p>
    <w:p w:rsidR="00375D42" w:rsidRPr="00375D42" w:rsidRDefault="00375D42" w:rsidP="00375D42">
      <w:pPr>
        <w:spacing w:after="0" w:line="257" w:lineRule="auto"/>
        <w:ind w:firstLine="851"/>
        <w:jc w:val="both"/>
        <w:rPr>
          <w:rFonts w:ascii="Times New Roman" w:hAnsi="Times New Roman" w:cs="Times New Roman"/>
          <w:sz w:val="28"/>
          <w:szCs w:val="28"/>
          <w:lang w:val="uk-UA"/>
        </w:rPr>
      </w:pPr>
      <w:bookmarkStart w:id="0" w:name="_GoBack"/>
      <w:bookmarkEnd w:id="0"/>
      <w:r w:rsidRPr="00375D42">
        <w:rPr>
          <w:rFonts w:ascii="Times New Roman" w:hAnsi="Times New Roman" w:cs="Times New Roman"/>
          <w:sz w:val="28"/>
          <w:szCs w:val="28"/>
          <w:lang w:val="uk-UA"/>
        </w:rPr>
        <w:t>Угода передбачає і механізм вирішення суперечок, який використовуватиметься, якщо якась зі сторін не виконає свої зобов’язання. У частині ГВЗВТ додатковий обов’язковий механізм вирішення спорів створено у вигляді спеціального протоколу, який спирається на традиційний спосіб вирішення спорів у рамках СОТ. Термін дії Угоди про асоціацію між ЄС і Україною необмежений.</w:t>
      </w:r>
    </w:p>
    <w:p w:rsidR="00375D42" w:rsidRDefault="00375D42"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sz w:val="28"/>
          <w:szCs w:val="28"/>
          <w:lang w:val="uk-UA"/>
        </w:rPr>
        <w:t>Угода про асоціацію перекладена 22 мовами ЄС і українською.</w:t>
      </w:r>
    </w:p>
    <w:p w:rsidR="00375D42" w:rsidRDefault="00375D42" w:rsidP="00375D42">
      <w:pPr>
        <w:spacing w:after="0" w:line="257" w:lineRule="auto"/>
        <w:ind w:firstLine="851"/>
        <w:jc w:val="both"/>
        <w:rPr>
          <w:rFonts w:ascii="Times New Roman" w:hAnsi="Times New Roman" w:cs="Times New Roman"/>
          <w:sz w:val="28"/>
          <w:szCs w:val="28"/>
          <w:lang w:val="uk-UA"/>
        </w:rPr>
      </w:pPr>
      <w:r w:rsidRPr="00375D42">
        <w:rPr>
          <w:rFonts w:ascii="Times New Roman" w:hAnsi="Times New Roman" w:cs="Times New Roman"/>
          <w:b/>
          <w:sz w:val="28"/>
          <w:szCs w:val="28"/>
          <w:lang w:val="uk-UA"/>
        </w:rPr>
        <w:t>Частина ІІІ. Практикум.</w:t>
      </w:r>
      <w:r>
        <w:rPr>
          <w:rFonts w:ascii="Times New Roman" w:hAnsi="Times New Roman" w:cs="Times New Roman"/>
          <w:sz w:val="28"/>
          <w:szCs w:val="28"/>
          <w:lang w:val="uk-UA"/>
        </w:rPr>
        <w:t xml:space="preserve"> </w:t>
      </w:r>
    </w:p>
    <w:p w:rsidR="00375D42" w:rsidRDefault="00375D42" w:rsidP="00375D42">
      <w:pPr>
        <w:spacing w:after="0" w:line="257"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Письмові дебати «Плюси і мінуси вступу України до Європейського Союзу». Тренер на дошці малює 2 колонки, до яких учні по черзі вписують плюси та мінуси вступу України до ЄС. Після того, як всі учні зроблять записи, тренер із класом обговорюють зазначені тези.</w:t>
      </w:r>
    </w:p>
    <w:p w:rsidR="00375D42" w:rsidRPr="00375D42" w:rsidRDefault="00375D42" w:rsidP="00375D42">
      <w:pPr>
        <w:spacing w:after="0" w:line="257" w:lineRule="auto"/>
        <w:ind w:firstLine="851"/>
        <w:jc w:val="both"/>
        <w:rPr>
          <w:rFonts w:ascii="Times New Roman" w:hAnsi="Times New Roman" w:cs="Times New Roman"/>
          <w:i/>
          <w:sz w:val="28"/>
          <w:szCs w:val="28"/>
          <w:lang w:val="uk-UA"/>
        </w:rPr>
      </w:pPr>
      <w:r w:rsidRPr="00375D42">
        <w:rPr>
          <w:rFonts w:ascii="Times New Roman" w:hAnsi="Times New Roman" w:cs="Times New Roman"/>
          <w:i/>
          <w:sz w:val="28"/>
          <w:szCs w:val="28"/>
          <w:lang w:val="uk-UA"/>
        </w:rPr>
        <w:t>В кінці заняття, тренери дякують учням за активну участь і вручають сертифікати про успішне закінчення тренінгу</w:t>
      </w:r>
      <w:r>
        <w:rPr>
          <w:rFonts w:ascii="Times New Roman" w:hAnsi="Times New Roman" w:cs="Times New Roman"/>
          <w:i/>
          <w:sz w:val="28"/>
          <w:szCs w:val="28"/>
          <w:lang w:val="uk-UA"/>
        </w:rPr>
        <w:t>.</w:t>
      </w:r>
    </w:p>
    <w:sectPr w:rsidR="00375D42" w:rsidRPr="00375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F50CF"/>
    <w:multiLevelType w:val="hybridMultilevel"/>
    <w:tmpl w:val="923EDB86"/>
    <w:lvl w:ilvl="0" w:tplc="9E943E3A">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A8"/>
    <w:rsid w:val="000E4F23"/>
    <w:rsid w:val="00375D42"/>
    <w:rsid w:val="004A3ADF"/>
    <w:rsid w:val="00500929"/>
    <w:rsid w:val="00DF3BA8"/>
    <w:rsid w:val="00E00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AC97B-A253-4F52-9790-5E82B5B8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92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0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00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37540">
      <w:bodyDiv w:val="1"/>
      <w:marLeft w:val="0"/>
      <w:marRight w:val="0"/>
      <w:marTop w:val="0"/>
      <w:marBottom w:val="0"/>
      <w:divBdr>
        <w:top w:val="none" w:sz="0" w:space="0" w:color="auto"/>
        <w:left w:val="none" w:sz="0" w:space="0" w:color="auto"/>
        <w:bottom w:val="none" w:sz="0" w:space="0" w:color="auto"/>
        <w:right w:val="none" w:sz="0" w:space="0" w:color="auto"/>
      </w:divBdr>
    </w:div>
    <w:div w:id="9942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1461</Words>
  <Characters>8332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2020-10-06T16:26:00Z</dcterms:created>
  <dcterms:modified xsi:type="dcterms:W3CDTF">2020-10-06T16:49:00Z</dcterms:modified>
</cp:coreProperties>
</file>