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8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  <w:gridCol w:w="8930"/>
      </w:tblGrid>
      <w:tr w:rsidR="003955F8" w:rsidRPr="00800D5D" w:rsidTr="00DA77F6">
        <w:trPr>
          <w:trHeight w:val="1135"/>
        </w:trPr>
        <w:tc>
          <w:tcPr>
            <w:tcW w:w="17860" w:type="dxa"/>
            <w:gridSpan w:val="3"/>
            <w:shd w:val="clear" w:color="auto" w:fill="EAF1DD" w:themeFill="accent3" w:themeFillTint="33"/>
          </w:tcPr>
          <w:p w:rsidR="003955F8" w:rsidRPr="00800D5D" w:rsidRDefault="003955F8" w:rsidP="00C343E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B1C33">
              <w:rPr>
                <w:rStyle w:val="jlqj4b"/>
                <w:rFonts w:ascii="Times New Roman" w:hAnsi="Times New Roman" w:cs="Times New Roman"/>
                <w:sz w:val="44"/>
                <w:szCs w:val="32"/>
                <w:lang w:val="en"/>
              </w:rPr>
              <w:t>Syllabus of discipline</w:t>
            </w:r>
          </w:p>
          <w:p w:rsidR="003955F8" w:rsidRPr="00800D5D" w:rsidRDefault="003955F8" w:rsidP="00C343E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>
              <w:rPr>
                <w:rStyle w:val="40"/>
                <w:lang w:val="en"/>
              </w:rPr>
              <w:t xml:space="preserve"> </w:t>
            </w:r>
            <w:r w:rsidRPr="003955F8">
              <w:rPr>
                <w:rStyle w:val="jlqj4b"/>
                <w:rFonts w:ascii="Times New Roman" w:hAnsi="Times New Roman" w:cs="Times New Roman"/>
                <w:sz w:val="40"/>
                <w:szCs w:val="32"/>
                <w:lang w:val="en"/>
              </w:rPr>
              <w:t>Histological technique and diagnosis</w:t>
            </w:r>
            <w:r w:rsidRPr="003955F8">
              <w:rPr>
                <w:sz w:val="28"/>
              </w:rPr>
              <w:t xml:space="preserve"> </w:t>
            </w:r>
            <w:r w:rsidRPr="00800D5D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</w:tr>
      <w:tr w:rsidR="003955F8" w:rsidRPr="00800D5D" w:rsidTr="00DA77F6">
        <w:tc>
          <w:tcPr>
            <w:tcW w:w="8363" w:type="dxa"/>
          </w:tcPr>
          <w:p w:rsidR="003955F8" w:rsidRPr="00D34A04" w:rsidRDefault="003955F8" w:rsidP="003955F8">
            <w:pPr>
              <w:spacing w:line="276" w:lineRule="auto"/>
              <w:ind w:left="33" w:firstLine="70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34A04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Lecturer</w:t>
            </w:r>
            <w:r w:rsidRPr="00D34A04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: Valery </w:t>
            </w:r>
            <w:proofErr w:type="spellStart"/>
            <w:r w:rsidRPr="00D34A04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>Cherno</w:t>
            </w:r>
            <w:proofErr w:type="spellEnd"/>
          </w:p>
          <w:p w:rsidR="003955F8" w:rsidRDefault="003955F8" w:rsidP="003955F8">
            <w:pPr>
              <w:spacing w:line="276" w:lineRule="auto"/>
              <w:ind w:left="33" w:firstLine="709"/>
              <w:rPr>
                <w:rStyle w:val="jlqj4b"/>
                <w:rFonts w:ascii="Times New Roman" w:hAnsi="Times New Roman" w:cs="Times New Roman"/>
                <w:lang w:val="en"/>
              </w:rPr>
            </w:pP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Professor, Doctor of Medicine, </w:t>
            </w:r>
          </w:p>
          <w:p w:rsidR="003955F8" w:rsidRDefault="003955F8" w:rsidP="003955F8">
            <w:pPr>
              <w:spacing w:line="276" w:lineRule="auto"/>
              <w:ind w:left="33" w:firstLine="709"/>
              <w:rPr>
                <w:rStyle w:val="jlqj4b"/>
                <w:rFonts w:ascii="Times New Roman" w:hAnsi="Times New Roman" w:cs="Times New Roman"/>
                <w:lang w:val="en"/>
              </w:rPr>
            </w:pP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Head of the Department of Anatomy, Clinical Anatomy, </w:t>
            </w:r>
            <w:proofErr w:type="spellStart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>Pathomorphology</w:t>
            </w:r>
            <w:proofErr w:type="spellEnd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and Forensic Medicine</w:t>
            </w:r>
          </w:p>
          <w:p w:rsidR="003955F8" w:rsidRPr="00223E3A" w:rsidRDefault="003955F8" w:rsidP="003955F8">
            <w:pPr>
              <w:ind w:left="33" w:firstLine="709"/>
              <w:rPr>
                <w:rFonts w:ascii="Times New Roman" w:hAnsi="Times New Roman" w:cs="Times New Roman"/>
                <w:sz w:val="52"/>
                <w:szCs w:val="52"/>
              </w:rPr>
            </w:pP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Medical Institute </w:t>
            </w:r>
            <w:proofErr w:type="gramStart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>of</w:t>
            </w:r>
            <w:r>
              <w:rPr>
                <w:rStyle w:val="jlqj4b"/>
                <w:rFonts w:ascii="Times New Roman" w:hAnsi="Times New Roman" w:cs="Times New Roman"/>
                <w:lang w:val="en"/>
              </w:rPr>
              <w:t xml:space="preserve"> </w:t>
            </w: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Petro</w:t>
            </w:r>
            <w:proofErr w:type="gramEnd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>Mohyla</w:t>
            </w:r>
            <w:proofErr w:type="spellEnd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Style w:val="jlqj4b"/>
                <w:rFonts w:ascii="Times New Roman" w:hAnsi="Times New Roman" w:cs="Times New Roman"/>
                <w:lang w:val="en"/>
              </w:rPr>
              <w:t xml:space="preserve">Black Sea </w:t>
            </w: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>National University.</w:t>
            </w:r>
          </w:p>
        </w:tc>
        <w:tc>
          <w:tcPr>
            <w:tcW w:w="567" w:type="dxa"/>
          </w:tcPr>
          <w:p w:rsidR="003955F8" w:rsidRPr="00800D5D" w:rsidRDefault="003955F8" w:rsidP="00C343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955F8" w:rsidRP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Volume</w:t>
            </w: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: 3 ECTS credits (90 hours). </w:t>
            </w:r>
          </w:p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The purpose of the discipline</w:t>
            </w: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 is to acquaint students with the basic </w:t>
            </w:r>
            <w:proofErr w:type="spellStart"/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>histopathological</w:t>
            </w:r>
            <w:proofErr w:type="spellEnd"/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 methods of determining the main pathological processes of the human body. Originality of the discipline: author's course. </w:t>
            </w:r>
          </w:p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</w:p>
          <w:p w:rsidR="003955F8" w:rsidRP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b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The content of the discipline</w:t>
            </w:r>
          </w:p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 Topic 1. Histological laboratory equipment. Histological technique; </w:t>
            </w:r>
          </w:p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Topic 2. Methods and rules for obtaining histological material; </w:t>
            </w:r>
          </w:p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Topic 3. Cellular organization and functions of cells and tissues of the human body, methods for their determination; </w:t>
            </w:r>
          </w:p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Topic 4. Pathological methods of research of blood and lymph circulation disorders; </w:t>
            </w:r>
          </w:p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Topic 5. Pathological methods of research of metabolic disorders; </w:t>
            </w:r>
          </w:p>
          <w:p w:rsidR="003955F8" w:rsidRDefault="003955F8" w:rsidP="003955F8">
            <w:pPr>
              <w:spacing w:line="276" w:lineRule="auto"/>
              <w:jc w:val="both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Topic 6. Pathological methods of research of disorders of necrosis; </w:t>
            </w:r>
          </w:p>
          <w:p w:rsidR="003955F8" w:rsidRPr="00800D5D" w:rsidRDefault="003955F8" w:rsidP="003955F8">
            <w:pPr>
              <w:spacing w:line="276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>Topic 7. Pathological methods of research of disorders of inflammation;</w:t>
            </w:r>
            <w:r w:rsidRPr="003955F8">
              <w:rPr>
                <w:sz w:val="24"/>
              </w:rPr>
              <w:t xml:space="preserve"> </w:t>
            </w:r>
          </w:p>
        </w:tc>
      </w:tr>
      <w:tr w:rsidR="003955F8" w:rsidRPr="00800D5D" w:rsidTr="00DA77F6">
        <w:trPr>
          <w:trHeight w:val="3975"/>
        </w:trPr>
        <w:tc>
          <w:tcPr>
            <w:tcW w:w="8363" w:type="dxa"/>
            <w:vMerge w:val="restart"/>
          </w:tcPr>
          <w:p w:rsid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955F8" w:rsidRP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Expected learning outcomes</w:t>
            </w:r>
            <w:r w:rsidRPr="003955F8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 </w:t>
            </w:r>
          </w:p>
          <w:p w:rsidR="003955F8" w:rsidRP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As a result of studying the discipline, students have: </w:t>
            </w:r>
          </w:p>
          <w:p w:rsidR="003955F8" w:rsidRP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know</w:t>
            </w:r>
            <w:proofErr w:type="gramEnd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- technical characteristics and purpose of equipment used in histological technique, features of cell organelle functions and </w:t>
            </w:r>
            <w:proofErr w:type="spellStart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histo</w:t>
            </w:r>
            <w:proofErr w:type="spellEnd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-chemical methods of their determination; main </w:t>
            </w:r>
            <w:proofErr w:type="spellStart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pathohistological</w:t>
            </w:r>
            <w:proofErr w:type="spellEnd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changes in pathological processes of the human body, and methods of their determination.</w:t>
            </w:r>
          </w:p>
          <w:p w:rsidR="003955F8" w:rsidRP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gramStart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be</w:t>
            </w:r>
            <w:proofErr w:type="gramEnd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able to - use laboratory equipment for the manufacture of histological specimens, independently conduct the stages of obtaining histological material by autopsy and biopsy, "read" a microscopic image of histological specimens, followed by analysis and clinical conclusion.</w:t>
            </w:r>
          </w:p>
          <w:p w:rsid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3955F8" w:rsidRP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Prerequisites</w:t>
            </w:r>
          </w:p>
          <w:p w:rsidR="003955F8" w:rsidRP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Theoretical materials of the presented syllabus of the chosen discipline are based on knowledge of related disciplines, macro-and microanatomy.</w:t>
            </w:r>
          </w:p>
          <w:p w:rsid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55F8" w:rsidRP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Details </w:t>
            </w:r>
          </w:p>
          <w:p w:rsidR="003955F8" w:rsidRPr="003955F8" w:rsidRDefault="003955F8" w:rsidP="003955F8">
            <w:pPr>
              <w:ind w:left="33" w:firstLine="709"/>
              <w:rPr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Students must develop practical skills of </w:t>
            </w:r>
            <w:proofErr w:type="spellStart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histopathological</w:t>
            </w:r>
            <w:proofErr w:type="spellEnd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understanding of the processes of transformation of the structural organization of cells and tissues, to master the basic macro- and microscopic manifestations, the main pathological processes in the human body. Analyzing certain cytological features, understand the consequences and level of threat to the human body.</w:t>
            </w:r>
          </w:p>
        </w:tc>
        <w:tc>
          <w:tcPr>
            <w:tcW w:w="567" w:type="dxa"/>
            <w:vMerge w:val="restart"/>
          </w:tcPr>
          <w:p w:rsidR="003955F8" w:rsidRPr="00800D5D" w:rsidRDefault="003955F8" w:rsidP="00C3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955F8" w:rsidRPr="00800D5D" w:rsidRDefault="003955F8" w:rsidP="00C3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F8" w:rsidRPr="00800D5D" w:rsidTr="00DA77F6">
        <w:trPr>
          <w:trHeight w:val="2100"/>
        </w:trPr>
        <w:tc>
          <w:tcPr>
            <w:tcW w:w="8363" w:type="dxa"/>
            <w:vMerge/>
          </w:tcPr>
          <w:p w:rsidR="003955F8" w:rsidRDefault="003955F8" w:rsidP="003955F8">
            <w:pPr>
              <w:ind w:left="33" w:firstLine="709"/>
              <w:rPr>
                <w:rStyle w:val="jlqj4b"/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7" w:type="dxa"/>
            <w:vMerge/>
          </w:tcPr>
          <w:p w:rsidR="003955F8" w:rsidRPr="00800D5D" w:rsidRDefault="003955F8" w:rsidP="00C3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3955F8" w:rsidRPr="003955F8" w:rsidRDefault="003955F8" w:rsidP="003955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955F8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Criteria for evaluating independent work</w:t>
            </w:r>
            <w:r w:rsidRPr="003955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955F8" w:rsidRPr="003955F8" w:rsidRDefault="003955F8" w:rsidP="003955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To master the theoretical and practical foundations of certain topics of the presented elective discipline, students must prepare: a presentation on the list and technical characteristics of the</w:t>
            </w:r>
            <w:bookmarkStart w:id="0" w:name="_GoBack"/>
            <w:bookmarkEnd w:id="0"/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main and auxiliary laboratory equipment used in histological techniques.</w:t>
            </w:r>
            <w:r w:rsidRPr="003955F8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There are 2 main components of the implementation of the </w:t>
            </w:r>
            <w:r w:rsidR="00CC139B" w:rsidRPr="00CC139B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>independent work</w:t>
            </w: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: 1) oral presentation in a practical lesson (40% of the assessment);</w:t>
            </w:r>
            <w:r w:rsidRPr="003955F8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3955F8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2) completeness of disclosure of the presented material, taking into account world achievements (60% of the assessment).</w:t>
            </w:r>
          </w:p>
        </w:tc>
      </w:tr>
      <w:tr w:rsidR="003955F8" w:rsidRPr="00800D5D" w:rsidTr="00DA77F6">
        <w:tc>
          <w:tcPr>
            <w:tcW w:w="8363" w:type="dxa"/>
          </w:tcPr>
          <w:p w:rsidR="003955F8" w:rsidRDefault="003955F8" w:rsidP="003955F8">
            <w:pPr>
              <w:ind w:left="33" w:firstLine="709"/>
            </w:pPr>
          </w:p>
        </w:tc>
        <w:tc>
          <w:tcPr>
            <w:tcW w:w="567" w:type="dxa"/>
          </w:tcPr>
          <w:p w:rsidR="003955F8" w:rsidRPr="00800D5D" w:rsidRDefault="003955F8" w:rsidP="00C343EB">
            <w:pPr>
              <w:pStyle w:val="2"/>
            </w:pPr>
          </w:p>
        </w:tc>
        <w:tc>
          <w:tcPr>
            <w:tcW w:w="8930" w:type="dxa"/>
            <w:vMerge w:val="restart"/>
          </w:tcPr>
          <w:p w:rsidR="00DA77F6" w:rsidRDefault="00DA77F6" w:rsidP="00CC139B">
            <w:pPr>
              <w:pStyle w:val="2"/>
              <w:ind w:left="0" w:firstLine="459"/>
              <w:rPr>
                <w:rStyle w:val="jlqj4b"/>
                <w:b/>
              </w:rPr>
            </w:pPr>
          </w:p>
          <w:p w:rsidR="00DA77F6" w:rsidRDefault="00DA77F6" w:rsidP="00CC139B">
            <w:pPr>
              <w:pStyle w:val="2"/>
              <w:ind w:left="0" w:firstLine="459"/>
              <w:rPr>
                <w:rStyle w:val="jlqj4b"/>
                <w:b/>
              </w:rPr>
            </w:pPr>
          </w:p>
          <w:p w:rsidR="00CC139B" w:rsidRDefault="00CC139B" w:rsidP="00DA77F6">
            <w:pPr>
              <w:pStyle w:val="2"/>
              <w:spacing w:line="276" w:lineRule="auto"/>
              <w:ind w:left="0" w:firstLine="459"/>
              <w:rPr>
                <w:rStyle w:val="jlqj4b"/>
              </w:rPr>
            </w:pPr>
            <w:proofErr w:type="spellStart"/>
            <w:r w:rsidRPr="005E74F3">
              <w:rPr>
                <w:rStyle w:val="jlqj4b"/>
                <w:b/>
              </w:rPr>
              <w:lastRenderedPageBreak/>
              <w:t>Criteria</w:t>
            </w:r>
            <w:proofErr w:type="spellEnd"/>
            <w:r w:rsidRPr="005E74F3">
              <w:rPr>
                <w:rStyle w:val="jlqj4b"/>
                <w:b/>
              </w:rPr>
              <w:t xml:space="preserve"> </w:t>
            </w:r>
            <w:proofErr w:type="spellStart"/>
            <w:r w:rsidRPr="005E74F3">
              <w:rPr>
                <w:rStyle w:val="jlqj4b"/>
                <w:b/>
              </w:rPr>
              <w:t>for</w:t>
            </w:r>
            <w:proofErr w:type="spellEnd"/>
            <w:r w:rsidRPr="005E74F3">
              <w:rPr>
                <w:rStyle w:val="jlqj4b"/>
                <w:b/>
              </w:rPr>
              <w:t xml:space="preserve"> </w:t>
            </w:r>
            <w:proofErr w:type="spellStart"/>
            <w:r w:rsidRPr="005E74F3">
              <w:rPr>
                <w:rStyle w:val="jlqj4b"/>
                <w:b/>
              </w:rPr>
              <w:t>evaluating</w:t>
            </w:r>
            <w:proofErr w:type="spellEnd"/>
            <w:r w:rsidRPr="005E74F3">
              <w:rPr>
                <w:rStyle w:val="jlqj4b"/>
                <w:b/>
              </w:rPr>
              <w:t xml:space="preserve"> </w:t>
            </w:r>
            <w:proofErr w:type="spellStart"/>
            <w:r w:rsidRPr="005E74F3">
              <w:rPr>
                <w:rStyle w:val="jlqj4b"/>
                <w:b/>
              </w:rPr>
              <w:t>the</w:t>
            </w:r>
            <w:proofErr w:type="spellEnd"/>
            <w:r w:rsidRPr="005E74F3">
              <w:rPr>
                <w:rStyle w:val="jlqj4b"/>
                <w:b/>
              </w:rPr>
              <w:t xml:space="preserve"> </w:t>
            </w:r>
            <w:proofErr w:type="spellStart"/>
            <w:r w:rsidRPr="005E74F3">
              <w:rPr>
                <w:rStyle w:val="jlqj4b"/>
                <w:b/>
              </w:rPr>
              <w:t>control</w:t>
            </w:r>
            <w:proofErr w:type="spellEnd"/>
            <w:r w:rsidRPr="005E74F3">
              <w:rPr>
                <w:rStyle w:val="jlqj4b"/>
                <w:b/>
              </w:rPr>
              <w:t xml:space="preserve"> </w:t>
            </w:r>
            <w:proofErr w:type="spellStart"/>
            <w:r w:rsidRPr="005E74F3">
              <w:rPr>
                <w:rStyle w:val="jlqj4b"/>
                <w:b/>
              </w:rPr>
              <w:t>work</w:t>
            </w:r>
            <w:proofErr w:type="spellEnd"/>
            <w:r>
              <w:rPr>
                <w:rStyle w:val="jlqj4b"/>
              </w:rPr>
              <w:t xml:space="preserve"> </w:t>
            </w:r>
          </w:p>
          <w:p w:rsidR="003955F8" w:rsidRPr="00DC1715" w:rsidRDefault="00DA77F6" w:rsidP="00DA77F6">
            <w:pPr>
              <w:pStyle w:val="2"/>
              <w:spacing w:line="276" w:lineRule="auto"/>
              <w:ind w:left="0" w:firstLine="459"/>
              <w:rPr>
                <w:lang w:val="uk-UA"/>
              </w:rPr>
            </w:pPr>
            <w:r>
              <w:rPr>
                <w:rStyle w:val="jlqj4b"/>
                <w:lang w:val="en"/>
              </w:rPr>
              <w:t>It is based on the determination of residual knowledge after mastering the elective discipline of choice.</w:t>
            </w:r>
            <w:r>
              <w:rPr>
                <w:rStyle w:val="viiyi"/>
                <w:rFonts w:eastAsiaTheme="majorEastAsia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It includes 3 components: 1) test tasks;</w:t>
            </w:r>
            <w:r>
              <w:rPr>
                <w:rStyle w:val="viiyi"/>
                <w:rFonts w:eastAsiaTheme="majorEastAsia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2) Solving educational clinical problems;</w:t>
            </w:r>
            <w:r>
              <w:rPr>
                <w:rStyle w:val="viiyi"/>
                <w:rFonts w:eastAsiaTheme="majorEastAsia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3) Presentation of the main pathological manifestations in the cells and tissues of the human body in certain pathological conditions.</w:t>
            </w:r>
          </w:p>
        </w:tc>
      </w:tr>
      <w:tr w:rsidR="003955F8" w:rsidRPr="00800D5D" w:rsidTr="00DA77F6">
        <w:tc>
          <w:tcPr>
            <w:tcW w:w="8363" w:type="dxa"/>
          </w:tcPr>
          <w:p w:rsidR="003955F8" w:rsidRPr="003955F8" w:rsidRDefault="003955F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955F8" w:rsidRPr="00800D5D" w:rsidRDefault="003955F8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3955F8" w:rsidRPr="00800D5D" w:rsidRDefault="003955F8" w:rsidP="00C343EB">
            <w:pPr>
              <w:pStyle w:val="2"/>
            </w:pPr>
          </w:p>
        </w:tc>
      </w:tr>
      <w:tr w:rsidR="003955F8" w:rsidRPr="00800D5D" w:rsidTr="00DA77F6">
        <w:trPr>
          <w:trHeight w:val="2024"/>
        </w:trPr>
        <w:tc>
          <w:tcPr>
            <w:tcW w:w="8363" w:type="dxa"/>
          </w:tcPr>
          <w:p w:rsidR="00DA77F6" w:rsidRDefault="00DA77F6" w:rsidP="00DA77F6">
            <w:pPr>
              <w:pStyle w:val="2"/>
            </w:pPr>
            <w:proofErr w:type="spellStart"/>
            <w:r w:rsidRPr="00EB1C33">
              <w:rPr>
                <w:rStyle w:val="jlqj4b"/>
                <w:b/>
              </w:rPr>
              <w:lastRenderedPageBreak/>
              <w:t>Semester</w:t>
            </w:r>
            <w:proofErr w:type="spellEnd"/>
            <w:r w:rsidRPr="00EB1C33">
              <w:rPr>
                <w:rStyle w:val="jlqj4b"/>
                <w:b/>
              </w:rPr>
              <w:t xml:space="preserve"> </w:t>
            </w:r>
            <w:proofErr w:type="spellStart"/>
            <w:r w:rsidRPr="00EB1C33">
              <w:rPr>
                <w:rStyle w:val="jlqj4b"/>
                <w:b/>
              </w:rPr>
              <w:t>control</w:t>
            </w:r>
            <w:proofErr w:type="spellEnd"/>
            <w:r w:rsidRPr="00EB1C33">
              <w:rPr>
                <w:rStyle w:val="jlqj4b"/>
                <w:b/>
              </w:rPr>
              <w:t>:</w:t>
            </w:r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Credit</w:t>
            </w:r>
            <w:proofErr w:type="spellEnd"/>
            <w:r>
              <w:t xml:space="preserve"> </w:t>
            </w:r>
          </w:p>
          <w:p w:rsidR="00DA77F6" w:rsidRDefault="00DA77F6" w:rsidP="00DA77F6">
            <w:pPr>
              <w:pStyle w:val="2"/>
              <w:rPr>
                <w:rStyle w:val="jlqj4b"/>
              </w:rPr>
            </w:pPr>
          </w:p>
          <w:p w:rsidR="00DA77F6" w:rsidRPr="003623F3" w:rsidRDefault="00DA77F6" w:rsidP="00DA77F6">
            <w:pPr>
              <w:pStyle w:val="2"/>
              <w:rPr>
                <w:rStyle w:val="jlqj4b"/>
                <w:b/>
              </w:rPr>
            </w:pPr>
            <w:proofErr w:type="spellStart"/>
            <w:r w:rsidRPr="003623F3">
              <w:rPr>
                <w:rStyle w:val="jlqj4b"/>
                <w:b/>
              </w:rPr>
              <w:t>Evaluation</w:t>
            </w:r>
            <w:proofErr w:type="spellEnd"/>
            <w:r w:rsidRPr="003623F3">
              <w:rPr>
                <w:rStyle w:val="jlqj4b"/>
                <w:b/>
              </w:rPr>
              <w:t>:</w:t>
            </w:r>
          </w:p>
          <w:p w:rsidR="00DA77F6" w:rsidRDefault="00DA77F6" w:rsidP="00DA77F6">
            <w:pPr>
              <w:pStyle w:val="2"/>
              <w:rPr>
                <w:rStyle w:val="jlqj4b"/>
              </w:rPr>
            </w:pPr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For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the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semester</w:t>
            </w:r>
            <w:proofErr w:type="spellEnd"/>
            <w:r>
              <w:rPr>
                <w:rStyle w:val="jlqj4b"/>
              </w:rPr>
              <w:t xml:space="preserve">: </w:t>
            </w:r>
          </w:p>
          <w:p w:rsidR="00DA77F6" w:rsidRPr="00824FAF" w:rsidRDefault="00DA77F6" w:rsidP="00DA77F6">
            <w:pPr>
              <w:pStyle w:val="2"/>
            </w:pPr>
            <w:r>
              <w:rPr>
                <w:rStyle w:val="jlqj4b"/>
              </w:rPr>
              <w:t xml:space="preserve">120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For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credit</w:t>
            </w:r>
            <w:proofErr w:type="spellEnd"/>
            <w:r>
              <w:rPr>
                <w:rStyle w:val="jlqj4b"/>
              </w:rPr>
              <w:t xml:space="preserve">: 80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</w:p>
          <w:p w:rsidR="00DA77F6" w:rsidRDefault="00DA77F6" w:rsidP="00DA77F6">
            <w:pPr>
              <w:pStyle w:val="2"/>
              <w:rPr>
                <w:rStyle w:val="jlqj4b"/>
              </w:rPr>
            </w:pPr>
          </w:p>
          <w:p w:rsidR="00DA77F6" w:rsidRPr="003623F3" w:rsidRDefault="00DA77F6" w:rsidP="00DA77F6">
            <w:pPr>
              <w:pStyle w:val="2"/>
              <w:rPr>
                <w:rStyle w:val="jlqj4b"/>
              </w:rPr>
            </w:pPr>
            <w:proofErr w:type="spellStart"/>
            <w:r w:rsidRPr="003623F3">
              <w:rPr>
                <w:rStyle w:val="jlqj4b"/>
                <w:b/>
              </w:rPr>
              <w:t>Types</w:t>
            </w:r>
            <w:proofErr w:type="spellEnd"/>
            <w:r w:rsidRPr="003623F3">
              <w:rPr>
                <w:rStyle w:val="jlqj4b"/>
                <w:b/>
              </w:rPr>
              <w:t xml:space="preserve"> </w:t>
            </w:r>
            <w:proofErr w:type="spellStart"/>
            <w:r w:rsidRPr="003623F3">
              <w:rPr>
                <w:rStyle w:val="jlqj4b"/>
                <w:b/>
              </w:rPr>
              <w:t>of</w:t>
            </w:r>
            <w:proofErr w:type="spellEnd"/>
            <w:r w:rsidRPr="003623F3">
              <w:rPr>
                <w:rStyle w:val="jlqj4b"/>
                <w:b/>
              </w:rPr>
              <w:t xml:space="preserve"> </w:t>
            </w:r>
            <w:proofErr w:type="spellStart"/>
            <w:r w:rsidRPr="003623F3">
              <w:rPr>
                <w:rStyle w:val="jlqj4b"/>
                <w:b/>
              </w:rPr>
              <w:t>work</w:t>
            </w:r>
            <w:proofErr w:type="spellEnd"/>
          </w:p>
          <w:p w:rsidR="00DA77F6" w:rsidRDefault="00DA77F6" w:rsidP="00DA77F6">
            <w:pPr>
              <w:pStyle w:val="2"/>
              <w:rPr>
                <w:rStyle w:val="jlqj4b"/>
              </w:rPr>
            </w:pPr>
            <w:proofErr w:type="spellStart"/>
            <w:r>
              <w:rPr>
                <w:rStyle w:val="jlqj4b"/>
              </w:rPr>
              <w:t>Independent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work</w:t>
            </w:r>
            <w:proofErr w:type="spellEnd"/>
            <w:r>
              <w:rPr>
                <w:rStyle w:val="jlqj4b"/>
              </w:rPr>
              <w:t xml:space="preserve"> (</w:t>
            </w:r>
            <w:proofErr w:type="spellStart"/>
            <w:r>
              <w:rPr>
                <w:rStyle w:val="jlqj4b"/>
              </w:rPr>
              <w:t>Presentation</w:t>
            </w:r>
            <w:proofErr w:type="spellEnd"/>
            <w:r>
              <w:rPr>
                <w:rStyle w:val="jlqj4b"/>
              </w:rPr>
              <w:t xml:space="preserve">) - 40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  <w:r>
              <w:rPr>
                <w:rStyle w:val="jlqj4b"/>
              </w:rPr>
              <w:t xml:space="preserve">. </w:t>
            </w:r>
          </w:p>
          <w:p w:rsidR="00DA77F6" w:rsidRDefault="00DA77F6" w:rsidP="00DA77F6">
            <w:pPr>
              <w:pStyle w:val="2"/>
              <w:rPr>
                <w:rStyle w:val="jlqj4b"/>
              </w:rPr>
            </w:pPr>
            <w:proofErr w:type="spellStart"/>
            <w:r>
              <w:rPr>
                <w:rStyle w:val="jlqj4b"/>
              </w:rPr>
              <w:t>Final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control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work</w:t>
            </w:r>
            <w:proofErr w:type="spellEnd"/>
            <w:r>
              <w:rPr>
                <w:rStyle w:val="jlqj4b"/>
              </w:rPr>
              <w:t xml:space="preserve"> (</w:t>
            </w:r>
            <w:proofErr w:type="spellStart"/>
            <w:r>
              <w:rPr>
                <w:rStyle w:val="jlqj4b"/>
              </w:rPr>
              <w:t>testing</w:t>
            </w:r>
            <w:proofErr w:type="spellEnd"/>
            <w:r>
              <w:rPr>
                <w:rStyle w:val="jlqj4b"/>
              </w:rPr>
              <w:t xml:space="preserve">) - 40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  <w:r>
              <w:rPr>
                <w:rStyle w:val="jlqj4b"/>
              </w:rPr>
              <w:t>.</w:t>
            </w:r>
          </w:p>
          <w:p w:rsidR="003955F8" w:rsidRPr="00800D5D" w:rsidRDefault="00DA77F6" w:rsidP="00DA77F6">
            <w:pPr>
              <w:pStyle w:val="2"/>
            </w:pPr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Survey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in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group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classes</w:t>
            </w:r>
            <w:proofErr w:type="spellEnd"/>
            <w:r>
              <w:rPr>
                <w:rStyle w:val="jlqj4b"/>
              </w:rPr>
              <w:t xml:space="preserve"> - 40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  <w:r>
              <w:rPr>
                <w:rStyle w:val="jlqj4b"/>
              </w:rPr>
              <w:t xml:space="preserve"> (4x10).</w:t>
            </w:r>
          </w:p>
        </w:tc>
        <w:tc>
          <w:tcPr>
            <w:tcW w:w="567" w:type="dxa"/>
          </w:tcPr>
          <w:p w:rsidR="003955F8" w:rsidRPr="00800D5D" w:rsidRDefault="003955F8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3955F8" w:rsidRPr="00800D5D" w:rsidRDefault="003955F8" w:rsidP="00C343EB">
            <w:pPr>
              <w:pStyle w:val="2"/>
            </w:pPr>
          </w:p>
        </w:tc>
      </w:tr>
      <w:tr w:rsidR="003955F8" w:rsidRPr="00800D5D" w:rsidTr="00DA77F6">
        <w:trPr>
          <w:trHeight w:val="1274"/>
        </w:trPr>
        <w:tc>
          <w:tcPr>
            <w:tcW w:w="8363" w:type="dxa"/>
          </w:tcPr>
          <w:p w:rsidR="00DA77F6" w:rsidRDefault="00DA77F6" w:rsidP="00C343EB">
            <w:pPr>
              <w:pStyle w:val="2"/>
              <w:rPr>
                <w:rStyle w:val="jlqj4b"/>
                <w:b/>
              </w:rPr>
            </w:pPr>
          </w:p>
          <w:p w:rsidR="00DA77F6" w:rsidRDefault="00DA77F6" w:rsidP="00C343EB">
            <w:pPr>
              <w:pStyle w:val="2"/>
              <w:rPr>
                <w:rStyle w:val="jlqj4b"/>
              </w:rPr>
            </w:pPr>
            <w:r w:rsidRPr="00DA77F6">
              <w:rPr>
                <w:rStyle w:val="jlqj4b"/>
                <w:b/>
                <w:lang w:val="en"/>
              </w:rPr>
              <w:t xml:space="preserve">Technical support </w:t>
            </w:r>
          </w:p>
          <w:p w:rsidR="003955F8" w:rsidRPr="00800D5D" w:rsidRDefault="00DA77F6" w:rsidP="00C343EB">
            <w:pPr>
              <w:pStyle w:val="2"/>
            </w:pPr>
            <w:r>
              <w:rPr>
                <w:rStyle w:val="jlqj4b"/>
                <w:lang w:val="en"/>
              </w:rPr>
              <w:t>Microscope. Histological preparations. Projection multimedia equipment (projector, screen, laptop / computer). Internet access, Wi-Fi access point. Moodle e-learning system 3.9.</w:t>
            </w:r>
          </w:p>
        </w:tc>
        <w:tc>
          <w:tcPr>
            <w:tcW w:w="567" w:type="dxa"/>
          </w:tcPr>
          <w:p w:rsidR="003955F8" w:rsidRPr="00800D5D" w:rsidRDefault="003955F8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3955F8" w:rsidRPr="00800D5D" w:rsidRDefault="003955F8" w:rsidP="00C343EB">
            <w:pPr>
              <w:pStyle w:val="2"/>
            </w:pPr>
          </w:p>
        </w:tc>
      </w:tr>
      <w:tr w:rsidR="003955F8" w:rsidRPr="00800D5D" w:rsidTr="00DA77F6">
        <w:trPr>
          <w:trHeight w:val="882"/>
        </w:trPr>
        <w:tc>
          <w:tcPr>
            <w:tcW w:w="8363" w:type="dxa"/>
          </w:tcPr>
          <w:p w:rsidR="00DA77F6" w:rsidRPr="005E74F3" w:rsidRDefault="00DA77F6" w:rsidP="00DA77F6">
            <w:pPr>
              <w:ind w:left="600" w:firstLine="426"/>
              <w:rPr>
                <w:rStyle w:val="jlqj4b"/>
                <w:rFonts w:ascii="Times New Roman" w:hAnsi="Times New Roman" w:cs="Times New Roman"/>
                <w:b/>
                <w:sz w:val="24"/>
                <w:lang w:val="ru-RU"/>
              </w:rPr>
            </w:pPr>
            <w:r w:rsidRPr="005E74F3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 xml:space="preserve">Deadline policy </w:t>
            </w:r>
          </w:p>
          <w:p w:rsidR="003955F8" w:rsidRPr="00DC1715" w:rsidRDefault="00DA77F6" w:rsidP="00DA77F6">
            <w:pPr>
              <w:pStyle w:val="2"/>
              <w:rPr>
                <w:lang w:val="uk-UA"/>
              </w:rPr>
            </w:pPr>
            <w:r w:rsidRPr="005E74F3">
              <w:rPr>
                <w:rStyle w:val="jlqj4b"/>
                <w:lang w:val="en"/>
              </w:rPr>
              <w:t>The works are presented in a certain study schedule, the term - according to the schedule for a certain week</w:t>
            </w:r>
          </w:p>
        </w:tc>
        <w:tc>
          <w:tcPr>
            <w:tcW w:w="567" w:type="dxa"/>
          </w:tcPr>
          <w:p w:rsidR="003955F8" w:rsidRPr="00800D5D" w:rsidRDefault="003955F8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3955F8" w:rsidRPr="00800D5D" w:rsidRDefault="003955F8" w:rsidP="00C343EB">
            <w:pPr>
              <w:pStyle w:val="2"/>
            </w:pPr>
          </w:p>
        </w:tc>
      </w:tr>
      <w:tr w:rsidR="003955F8" w:rsidRPr="00800D5D" w:rsidTr="00DA77F6">
        <w:trPr>
          <w:trHeight w:val="1274"/>
        </w:trPr>
        <w:tc>
          <w:tcPr>
            <w:tcW w:w="8363" w:type="dxa"/>
          </w:tcPr>
          <w:p w:rsidR="00DA77F6" w:rsidRDefault="00DA77F6" w:rsidP="00DA77F6">
            <w:pPr>
              <w:ind w:left="600" w:firstLine="426"/>
              <w:rPr>
                <w:rStyle w:val="jlqj4b"/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DA77F6" w:rsidRDefault="00DA77F6" w:rsidP="00DA77F6">
            <w:pPr>
              <w:ind w:left="600" w:firstLine="426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5E74F3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Academic Integrity Policy</w:t>
            </w:r>
            <w:r w:rsidRPr="005E74F3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 </w:t>
            </w:r>
          </w:p>
          <w:p w:rsidR="003955F8" w:rsidRPr="00800D5D" w:rsidRDefault="00DA77F6" w:rsidP="00DA77F6">
            <w:pPr>
              <w:pStyle w:val="2"/>
            </w:pPr>
            <w:r w:rsidRPr="005E74F3">
              <w:rPr>
                <w:rStyle w:val="jlqj4b"/>
                <w:lang w:val="en"/>
              </w:rPr>
              <w:t>Provides independent performance of the provided works and tasks.</w:t>
            </w:r>
            <w:r w:rsidRPr="005E74F3">
              <w:rPr>
                <w:rStyle w:val="viiyi"/>
                <w:lang w:val="en"/>
              </w:rPr>
              <w:t xml:space="preserve"> </w:t>
            </w:r>
            <w:r w:rsidRPr="005E74F3">
              <w:rPr>
                <w:rStyle w:val="jlqj4b"/>
                <w:lang w:val="en"/>
              </w:rPr>
              <w:t>Write-off during the offset (including using mobile devices) is prohibited.</w:t>
            </w:r>
            <w:r w:rsidRPr="005E74F3">
              <w:rPr>
                <w:rStyle w:val="viiyi"/>
                <w:lang w:val="en"/>
              </w:rPr>
              <w:t xml:space="preserve"> </w:t>
            </w:r>
            <w:r w:rsidRPr="005E74F3">
              <w:rPr>
                <w:rStyle w:val="jlqj4b"/>
                <w:lang w:val="en"/>
              </w:rPr>
              <w:t>In case of detection of plagiarism or write-off of work are not credited.</w:t>
            </w:r>
            <w:r w:rsidRPr="005E74F3">
              <w:t xml:space="preserve"> </w:t>
            </w:r>
          </w:p>
        </w:tc>
        <w:tc>
          <w:tcPr>
            <w:tcW w:w="567" w:type="dxa"/>
          </w:tcPr>
          <w:p w:rsidR="003955F8" w:rsidRPr="00800D5D" w:rsidRDefault="003955F8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3955F8" w:rsidRPr="00800D5D" w:rsidRDefault="003955F8" w:rsidP="00C343EB">
            <w:pPr>
              <w:pStyle w:val="2"/>
            </w:pPr>
          </w:p>
        </w:tc>
      </w:tr>
    </w:tbl>
    <w:p w:rsidR="003955F8" w:rsidRPr="00D83027" w:rsidRDefault="003955F8" w:rsidP="003955F8">
      <w:pPr>
        <w:jc w:val="center"/>
        <w:rPr>
          <w:rFonts w:ascii="Times New Roman" w:hAnsi="Times New Roman" w:cs="Times New Roman"/>
          <w:sz w:val="20"/>
          <w:szCs w:val="52"/>
        </w:rPr>
      </w:pPr>
    </w:p>
    <w:p w:rsidR="00323509" w:rsidRDefault="00323509"/>
    <w:sectPr w:rsidR="00323509" w:rsidSect="003955F8">
      <w:pgSz w:w="19200" w:h="10800" w:orient="landscape"/>
      <w:pgMar w:top="284" w:right="289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E"/>
    <w:rsid w:val="00287CC6"/>
    <w:rsid w:val="00323509"/>
    <w:rsid w:val="003955F8"/>
    <w:rsid w:val="00BA7EAE"/>
    <w:rsid w:val="00CC139B"/>
    <w:rsid w:val="00D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5F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4">
    <w:name w:val="heading 4"/>
    <w:basedOn w:val="a"/>
    <w:next w:val="a"/>
    <w:link w:val="40"/>
    <w:uiPriority w:val="9"/>
    <w:unhideWhenUsed/>
    <w:qFormat/>
    <w:rsid w:val="00287CC6"/>
    <w:pPr>
      <w:keepNext/>
      <w:keepLines/>
      <w:widowControl/>
      <w:suppressAutoHyphens/>
      <w:autoSpaceDE/>
      <w:textAlignment w:val="baseline"/>
      <w:outlineLvl w:val="3"/>
    </w:pPr>
    <w:rPr>
      <w:rFonts w:ascii="Times New Roman" w:eastAsiaTheme="majorEastAsia" w:hAnsi="Times New Roman" w:cstheme="minorBidi"/>
      <w:bCs/>
      <w:iCs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CC6"/>
    <w:rPr>
      <w:rFonts w:ascii="Times New Roman" w:eastAsiaTheme="majorEastAsia" w:hAnsi="Times New Roman"/>
      <w:bCs/>
      <w:iCs/>
      <w:color w:val="000000" w:themeColor="text1"/>
      <w:szCs w:val="21"/>
    </w:rPr>
  </w:style>
  <w:style w:type="table" w:styleId="a3">
    <w:name w:val="Table Grid"/>
    <w:basedOn w:val="a1"/>
    <w:uiPriority w:val="59"/>
    <w:rsid w:val="003955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3955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List Bullet 2"/>
    <w:basedOn w:val="a"/>
    <w:autoRedefine/>
    <w:rsid w:val="003955F8"/>
    <w:pPr>
      <w:shd w:val="clear" w:color="auto" w:fill="FFFFFF"/>
      <w:tabs>
        <w:tab w:val="left" w:pos="851"/>
      </w:tabs>
      <w:autoSpaceDE/>
      <w:autoSpaceDN/>
      <w:adjustRightInd w:val="0"/>
      <w:ind w:left="600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lqj4b">
    <w:name w:val="jlqj4b"/>
    <w:basedOn w:val="a0"/>
    <w:rsid w:val="003955F8"/>
  </w:style>
  <w:style w:type="character" w:customStyle="1" w:styleId="viiyi">
    <w:name w:val="viiyi"/>
    <w:basedOn w:val="a0"/>
    <w:rsid w:val="0039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5F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4">
    <w:name w:val="heading 4"/>
    <w:basedOn w:val="a"/>
    <w:next w:val="a"/>
    <w:link w:val="40"/>
    <w:uiPriority w:val="9"/>
    <w:unhideWhenUsed/>
    <w:qFormat/>
    <w:rsid w:val="00287CC6"/>
    <w:pPr>
      <w:keepNext/>
      <w:keepLines/>
      <w:widowControl/>
      <w:suppressAutoHyphens/>
      <w:autoSpaceDE/>
      <w:textAlignment w:val="baseline"/>
      <w:outlineLvl w:val="3"/>
    </w:pPr>
    <w:rPr>
      <w:rFonts w:ascii="Times New Roman" w:eastAsiaTheme="majorEastAsia" w:hAnsi="Times New Roman" w:cstheme="minorBidi"/>
      <w:bCs/>
      <w:iCs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CC6"/>
    <w:rPr>
      <w:rFonts w:ascii="Times New Roman" w:eastAsiaTheme="majorEastAsia" w:hAnsi="Times New Roman"/>
      <w:bCs/>
      <w:iCs/>
      <w:color w:val="000000" w:themeColor="text1"/>
      <w:szCs w:val="21"/>
    </w:rPr>
  </w:style>
  <w:style w:type="table" w:styleId="a3">
    <w:name w:val="Table Grid"/>
    <w:basedOn w:val="a1"/>
    <w:uiPriority w:val="59"/>
    <w:rsid w:val="003955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3955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List Bullet 2"/>
    <w:basedOn w:val="a"/>
    <w:autoRedefine/>
    <w:rsid w:val="003955F8"/>
    <w:pPr>
      <w:shd w:val="clear" w:color="auto" w:fill="FFFFFF"/>
      <w:tabs>
        <w:tab w:val="left" w:pos="851"/>
      </w:tabs>
      <w:autoSpaceDE/>
      <w:autoSpaceDN/>
      <w:adjustRightInd w:val="0"/>
      <w:ind w:left="600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lqj4b">
    <w:name w:val="jlqj4b"/>
    <w:basedOn w:val="a0"/>
    <w:rsid w:val="003955F8"/>
  </w:style>
  <w:style w:type="character" w:customStyle="1" w:styleId="viiyi">
    <w:name w:val="viiyi"/>
    <w:basedOn w:val="a0"/>
    <w:rsid w:val="003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Крайник Тетяна Михайлівна</dc:creator>
  <cp:keywords/>
  <dc:description/>
  <cp:lastModifiedBy>Крайник Тетяна Михайлівна</cp:lastModifiedBy>
  <cp:revision>3</cp:revision>
  <dcterms:created xsi:type="dcterms:W3CDTF">2021-11-01T08:32:00Z</dcterms:created>
  <dcterms:modified xsi:type="dcterms:W3CDTF">2021-11-01T08:45:00Z</dcterms:modified>
</cp:coreProperties>
</file>